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D674C" w14:textId="4B640A91" w:rsidR="004F6F72" w:rsidRPr="00B266B0" w:rsidRDefault="004F6F72" w:rsidP="004F6F72">
      <w:pPr>
        <w:pStyle w:val="Header"/>
        <w:tabs>
          <w:tab w:val="right" w:pos="9639"/>
        </w:tabs>
        <w:rPr>
          <w:bCs/>
          <w:i/>
          <w:noProof w:val="0"/>
          <w:sz w:val="24"/>
          <w:szCs w:val="24"/>
        </w:rPr>
      </w:pPr>
      <w:r w:rsidRPr="003A41EF">
        <w:rPr>
          <w:bCs/>
          <w:noProof w:val="0"/>
          <w:sz w:val="24"/>
          <w:szCs w:val="24"/>
        </w:rPr>
        <w:t>3GPP TSG-RAN WG2 Meeting NR Adhoc 1807</w:t>
      </w:r>
      <w:r w:rsidRPr="00B266B0">
        <w:rPr>
          <w:bCs/>
          <w:noProof w:val="0"/>
          <w:sz w:val="24"/>
          <w:szCs w:val="24"/>
        </w:rPr>
        <w:tab/>
      </w:r>
      <w:r w:rsidR="006C38A0" w:rsidRPr="006C38A0">
        <w:rPr>
          <w:bCs/>
          <w:noProof w:val="0"/>
          <w:sz w:val="24"/>
          <w:szCs w:val="24"/>
        </w:rPr>
        <w:t>R2-1810300</w:t>
      </w:r>
    </w:p>
    <w:p w14:paraId="24576F32" w14:textId="3E37B049" w:rsidR="004F6F72" w:rsidRPr="004F6F72" w:rsidRDefault="004F6F72" w:rsidP="004F6F72">
      <w:pPr>
        <w:pStyle w:val="Header"/>
        <w:tabs>
          <w:tab w:val="right" w:pos="9639"/>
        </w:tabs>
        <w:rPr>
          <w:bCs/>
          <w:i/>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r>
        <w:rPr>
          <w:rFonts w:eastAsia="SimSun"/>
          <w:noProof w:val="0"/>
          <w:sz w:val="24"/>
          <w:szCs w:val="24"/>
          <w:lang w:eastAsia="zh-CN"/>
        </w:rPr>
        <w:tab/>
      </w:r>
    </w:p>
    <w:p w14:paraId="5B7F0987" w14:textId="77777777" w:rsidR="004F6F72" w:rsidRDefault="004F6F72" w:rsidP="00CD4C7B">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1D88E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1C9D" w:rsidRPr="00851C9D">
        <w:rPr>
          <w:rFonts w:cs="Arial"/>
          <w:b/>
          <w:bCs/>
          <w:sz w:val="24"/>
          <w:lang w:eastAsia="ja-JP"/>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8E630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7274">
        <w:rPr>
          <w:rFonts w:ascii="Arial" w:hAnsi="Arial" w:cs="Arial"/>
          <w:b/>
          <w:bCs/>
          <w:sz w:val="24"/>
        </w:rPr>
        <w:t>PDCCH TCI state during HO</w:t>
      </w:r>
      <w:r w:rsidR="00851C9D">
        <w:rPr>
          <w:rFonts w:ascii="Arial" w:hAnsi="Arial" w:cs="Arial"/>
          <w:b/>
          <w:bCs/>
          <w:sz w:val="24"/>
        </w:rPr>
        <w:t xml:space="preserve"> and in CORESET#0</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3990A9B" w14:textId="34AFDFDD" w:rsidR="00C579CD" w:rsidRDefault="00194A62" w:rsidP="00A67274">
      <w:r>
        <w:t xml:space="preserve">During the RAN2#102 meeting PDCCH CSS for initial access and HO/SCG change was discussed and </w:t>
      </w:r>
      <w:r w:rsidR="00563C2A">
        <w:t xml:space="preserve">some agreements and the following questions were </w:t>
      </w:r>
      <w:r>
        <w:t>communicated to RAN1 in [1]:</w:t>
      </w:r>
    </w:p>
    <w:tbl>
      <w:tblPr>
        <w:tblStyle w:val="TableGrid"/>
        <w:tblW w:w="0" w:type="auto"/>
        <w:tblLook w:val="04A0" w:firstRow="1" w:lastRow="0" w:firstColumn="1" w:lastColumn="0" w:noHBand="0" w:noVBand="1"/>
      </w:tblPr>
      <w:tblGrid>
        <w:gridCol w:w="9631"/>
      </w:tblGrid>
      <w:tr w:rsidR="00194A62" w14:paraId="60F7F51D" w14:textId="77777777" w:rsidTr="00194A62">
        <w:tc>
          <w:tcPr>
            <w:tcW w:w="9631" w:type="dxa"/>
          </w:tcPr>
          <w:p w14:paraId="6746C114" w14:textId="77777777" w:rsidR="00602A3F" w:rsidRDefault="00602A3F" w:rsidP="00602A3F">
            <w:pPr>
              <w:pStyle w:val="Doc-text2"/>
              <w:ind w:left="647"/>
            </w:pPr>
            <w:r>
              <w:t>=&gt;</w:t>
            </w:r>
            <w:r>
              <w:tab/>
              <w:t xml:space="preserve">Ask RAN1 whether </w:t>
            </w:r>
            <w:r w:rsidRPr="00562F61">
              <w:t>tci-StatesPDCCH</w:t>
            </w:r>
            <w:r>
              <w:t xml:space="preserve"> is ignored during the RA procedure (for BFR it seems already clear). Or should the </w:t>
            </w:r>
            <w:r w:rsidRPr="008F6DAE">
              <w:t>tci-StatesPDCCH</w:t>
            </w:r>
            <w:r>
              <w:t xml:space="preserve"> have been in the SearchSpace (e.g. if it is meant to be used for USS only and not for CSS)? Check whether CORESET#0 is supposed to be configurable dedicatedly with a TCI-state. Ask RAN1 whether those aspects are clear from the RAN1 spec (and if so, in which sections). Otherwise, ask RAN1 to guide RAN2 how to clarify this in the RRC spec. </w:t>
            </w:r>
          </w:p>
          <w:p w14:paraId="71ABA579" w14:textId="34662C90" w:rsidR="00194A62" w:rsidRDefault="00602A3F" w:rsidP="00602A3F">
            <w:pPr>
              <w:pStyle w:val="Doc-text2"/>
              <w:ind w:left="647"/>
            </w:pPr>
            <w:r>
              <w:t>=&gt;</w:t>
            </w:r>
            <w:r>
              <w:tab/>
              <w:t xml:space="preserve">Ask RAN1 whether it is allowed to configure UEs with CSI-RS based RA and send the RAR on CORESET#0 (associated with SSBs). </w:t>
            </w:r>
          </w:p>
        </w:tc>
      </w:tr>
    </w:tbl>
    <w:p w14:paraId="5DB097F8" w14:textId="4EC870BF" w:rsidR="00194A62" w:rsidRDefault="00194A62" w:rsidP="00A67274"/>
    <w:p w14:paraId="258AECE9" w14:textId="5DAF607D" w:rsidR="00BA487C" w:rsidRDefault="00BA487C" w:rsidP="00A67274">
      <w:r>
        <w:t>The above doubts can be separated into two questions:</w:t>
      </w:r>
    </w:p>
    <w:p w14:paraId="2C157DF1" w14:textId="07504740" w:rsidR="00BA487C" w:rsidRDefault="00BA487C" w:rsidP="00BE31FD">
      <w:pPr>
        <w:pStyle w:val="ListParagraph"/>
        <w:numPr>
          <w:ilvl w:val="0"/>
          <w:numId w:val="11"/>
        </w:numPr>
        <w:ind w:leftChars="0"/>
      </w:pPr>
      <w:r>
        <w:t>Should</w:t>
      </w:r>
      <w:r w:rsidRPr="00BA487C">
        <w:t xml:space="preserve"> tci-StatesPDCCH </w:t>
      </w:r>
      <w:r>
        <w:t>be</w:t>
      </w:r>
      <w:r w:rsidRPr="00BA487C">
        <w:t xml:space="preserve"> ignored during the RA procedure</w:t>
      </w:r>
      <w:r>
        <w:t xml:space="preserve"> (e.g. during handover or SCG addition)</w:t>
      </w:r>
      <w:r w:rsidRPr="00BA487C">
        <w:t xml:space="preserve"> </w:t>
      </w:r>
      <w:r>
        <w:t>o</w:t>
      </w:r>
      <w:r w:rsidRPr="00BA487C">
        <w:t xml:space="preserve">r should the tci-StatesPDCCH </w:t>
      </w:r>
      <w:r>
        <w:t xml:space="preserve">be provided </w:t>
      </w:r>
      <w:r w:rsidRPr="00BA487C">
        <w:t>in the SearchSpace?</w:t>
      </w:r>
    </w:p>
    <w:p w14:paraId="22737AB7" w14:textId="6ECF2F5B" w:rsidR="00BA487C" w:rsidRDefault="00BA487C" w:rsidP="00BE31FD">
      <w:pPr>
        <w:pStyle w:val="ListParagraph"/>
        <w:numPr>
          <w:ilvl w:val="0"/>
          <w:numId w:val="11"/>
        </w:numPr>
        <w:ind w:leftChars="0"/>
      </w:pPr>
      <w:r>
        <w:t xml:space="preserve">Is </w:t>
      </w:r>
      <w:r>
        <w:t>CORESET#0 supposed to be configurable dedicatedly with a TCI-sta</w:t>
      </w:r>
      <w:r>
        <w:t>te and are RAN2 changes required for that?</w:t>
      </w:r>
    </w:p>
    <w:p w14:paraId="29E90160" w14:textId="77777777" w:rsidR="00BA487C" w:rsidRDefault="00BA487C" w:rsidP="00A67274"/>
    <w:p w14:paraId="0F63E738" w14:textId="5CA42FF6" w:rsidR="00194A62" w:rsidRPr="00C579CD" w:rsidRDefault="00BA487C" w:rsidP="00A67274">
      <w:r>
        <w:t xml:space="preserve">In this paper we discuss this aspect based on the recent and some earlier discussions in RAN2 with an eye to conclude this aspect in a way not, which ensures proper system operation and is not extensively impactful to RAN2 specifications. </w:t>
      </w:r>
    </w:p>
    <w:p w14:paraId="127ACA6D" w14:textId="5591A908" w:rsidR="00CD4C7B" w:rsidRPr="00C00B8D" w:rsidRDefault="00CD4C7B" w:rsidP="00CD4C7B">
      <w:pPr>
        <w:pStyle w:val="Heading1"/>
      </w:pPr>
      <w:r w:rsidRPr="00C00B8D">
        <w:t>2</w:t>
      </w:r>
      <w:r w:rsidRPr="00C00B8D">
        <w:tab/>
      </w:r>
      <w:r w:rsidR="00BD53B7">
        <w:t>Discussion</w:t>
      </w:r>
    </w:p>
    <w:p w14:paraId="18030B16" w14:textId="68873E9C" w:rsidR="00602A3F" w:rsidRDefault="00602A3F" w:rsidP="00C00B8D">
      <w:r>
        <w:t>Firstly</w:t>
      </w:r>
      <w:r w:rsidR="00BE31FD">
        <w:t>,</w:t>
      </w:r>
      <w:r>
        <w:t xml:space="preserve"> the relevant RAN1 agreements are listed here:</w:t>
      </w:r>
    </w:p>
    <w:tbl>
      <w:tblPr>
        <w:tblStyle w:val="TableGrid"/>
        <w:tblW w:w="0" w:type="auto"/>
        <w:tblLook w:val="04A0" w:firstRow="1" w:lastRow="0" w:firstColumn="1" w:lastColumn="0" w:noHBand="0" w:noVBand="1"/>
      </w:tblPr>
      <w:tblGrid>
        <w:gridCol w:w="9631"/>
      </w:tblGrid>
      <w:tr w:rsidR="00602A3F" w14:paraId="45598AB8" w14:textId="77777777" w:rsidTr="00602A3F">
        <w:tc>
          <w:tcPr>
            <w:tcW w:w="9631" w:type="dxa"/>
          </w:tcPr>
          <w:p w14:paraId="7A4D3F78" w14:textId="77777777" w:rsidR="00602A3F" w:rsidRPr="00602A3F" w:rsidRDefault="00602A3F" w:rsidP="00602A3F">
            <w:pPr>
              <w:spacing w:after="0"/>
              <w:ind w:left="720" w:hanging="720"/>
              <w:textAlignment w:val="baseline"/>
              <w:rPr>
                <w:sz w:val="24"/>
                <w:szCs w:val="24"/>
                <w:lang w:eastAsia="en-GB"/>
              </w:rPr>
            </w:pPr>
            <w:r w:rsidRPr="00602A3F">
              <w:rPr>
                <w:rFonts w:ascii="Times" w:eastAsia="Batang" w:hAnsi="Times"/>
                <w:color w:val="124191"/>
                <w:kern w:val="24"/>
                <w:highlight w:val="green"/>
                <w:lang w:eastAsia="en-GB"/>
              </w:rPr>
              <w:t>Agreements (93)</w:t>
            </w:r>
            <w:r w:rsidRPr="00602A3F">
              <w:rPr>
                <w:rFonts w:ascii="Times" w:eastAsia="Batang" w:hAnsi="Times"/>
                <w:color w:val="124191"/>
                <w:kern w:val="24"/>
                <w:lang w:eastAsia="en-GB"/>
              </w:rPr>
              <w:t>:</w:t>
            </w:r>
          </w:p>
          <w:p w14:paraId="0088C8D9" w14:textId="77777777" w:rsidR="00602A3F" w:rsidRPr="00602A3F" w:rsidRDefault="00602A3F" w:rsidP="00602A3F">
            <w:pPr>
              <w:spacing w:after="0"/>
              <w:ind w:left="720" w:hanging="720"/>
              <w:textAlignment w:val="baseline"/>
              <w:rPr>
                <w:sz w:val="24"/>
                <w:szCs w:val="24"/>
                <w:lang w:eastAsia="en-GB"/>
              </w:rPr>
            </w:pPr>
            <w:r w:rsidRPr="00602A3F">
              <w:rPr>
                <w:rFonts w:ascii="Times" w:eastAsia="Batang" w:hAnsi="Times"/>
                <w:color w:val="124191"/>
                <w:kern w:val="24"/>
                <w:lang w:eastAsia="en-GB"/>
              </w:rPr>
              <w:t>Update previous agreements as follows:</w:t>
            </w:r>
          </w:p>
          <w:p w14:paraId="1A8DCFD3" w14:textId="77777777" w:rsidR="00602A3F" w:rsidRPr="00602A3F" w:rsidRDefault="00602A3F" w:rsidP="00602A3F">
            <w:pPr>
              <w:numPr>
                <w:ilvl w:val="0"/>
                <w:numId w:val="9"/>
              </w:numPr>
              <w:tabs>
                <w:tab w:val="left" w:pos="720"/>
              </w:tabs>
              <w:spacing w:after="0"/>
              <w:ind w:left="1267"/>
              <w:contextualSpacing/>
              <w:textAlignment w:val="baseline"/>
              <w:rPr>
                <w:szCs w:val="24"/>
                <w:lang w:eastAsia="en-GB"/>
              </w:rPr>
            </w:pPr>
            <w:r w:rsidRPr="00602A3F">
              <w:rPr>
                <w:rFonts w:ascii="Times" w:eastAsia="Batang" w:hAnsi="Times"/>
                <w:color w:val="124191"/>
                <w:kern w:val="24"/>
                <w:lang w:val="en-US" w:eastAsia="en-GB"/>
              </w:rPr>
              <w:t xml:space="preserve">NW and UE maintain the same understanding on SSB/CORESET#0/SS#0 in connected_mode </w:t>
            </w:r>
            <w:r w:rsidRPr="00602A3F">
              <w:rPr>
                <w:rFonts w:ascii="Times" w:eastAsia="Batang" w:hAnsi="Times"/>
                <w:strike/>
                <w:color w:val="FF0000"/>
                <w:kern w:val="24"/>
                <w:u w:val="single"/>
                <w:lang w:val="en-US" w:eastAsia="en-GB"/>
              </w:rPr>
              <w:t>at least</w:t>
            </w:r>
            <w:r w:rsidRPr="00602A3F">
              <w:rPr>
                <w:rFonts w:ascii="Times" w:eastAsia="Batang" w:hAnsi="Times"/>
                <w:color w:val="124191"/>
                <w:kern w:val="24"/>
                <w:lang w:val="en-US" w:eastAsia="en-GB"/>
              </w:rPr>
              <w:t xml:space="preserve"> for non-broadcast PDCCH </w:t>
            </w:r>
            <w:r w:rsidRPr="00602A3F">
              <w:rPr>
                <w:rFonts w:ascii="Times" w:eastAsia="Batang" w:hAnsi="Times"/>
                <w:color w:val="FF0000"/>
                <w:kern w:val="24"/>
                <w:u w:val="single"/>
                <w:lang w:val="en-US" w:eastAsia="en-GB"/>
              </w:rPr>
              <w:t>and for broadcast PDCCH</w:t>
            </w:r>
          </w:p>
          <w:p w14:paraId="4D6AA4D3" w14:textId="77777777" w:rsidR="00602A3F" w:rsidRPr="00602A3F" w:rsidRDefault="00602A3F" w:rsidP="00602A3F">
            <w:pPr>
              <w:numPr>
                <w:ilvl w:val="1"/>
                <w:numId w:val="9"/>
              </w:numPr>
              <w:spacing w:after="0"/>
              <w:ind w:left="2606"/>
              <w:contextualSpacing/>
              <w:textAlignment w:val="baseline"/>
              <w:rPr>
                <w:szCs w:val="24"/>
                <w:lang w:eastAsia="en-GB"/>
              </w:rPr>
            </w:pPr>
            <w:r w:rsidRPr="00602A3F">
              <w:rPr>
                <w:rFonts w:ascii="Times" w:eastAsia="Batang" w:hAnsi="Times"/>
                <w:color w:val="124191"/>
                <w:kern w:val="24"/>
                <w:lang w:val="en-US" w:eastAsia="en-GB"/>
              </w:rPr>
              <w:t>Solutions FFS</w:t>
            </w:r>
          </w:p>
          <w:p w14:paraId="0F420976" w14:textId="77777777" w:rsidR="00602A3F" w:rsidRPr="00602A3F" w:rsidRDefault="00602A3F" w:rsidP="00602A3F">
            <w:pPr>
              <w:numPr>
                <w:ilvl w:val="0"/>
                <w:numId w:val="9"/>
              </w:numPr>
              <w:tabs>
                <w:tab w:val="left" w:pos="720"/>
              </w:tabs>
              <w:spacing w:after="0"/>
              <w:ind w:left="1267"/>
              <w:contextualSpacing/>
              <w:textAlignment w:val="baseline"/>
              <w:rPr>
                <w:szCs w:val="24"/>
                <w:lang w:eastAsia="en-GB"/>
              </w:rPr>
            </w:pPr>
            <w:r w:rsidRPr="00602A3F">
              <w:rPr>
                <w:rFonts w:ascii="Times" w:eastAsia="Batang" w:hAnsi="Times"/>
                <w:color w:val="124191"/>
                <w:kern w:val="24"/>
                <w:lang w:val="en-US" w:eastAsia="en-GB"/>
              </w:rPr>
              <w:t xml:space="preserve">For the broadcast PDCCH, it is up to UE which common search space to monitor based on which SSB in both </w:t>
            </w:r>
            <w:r w:rsidRPr="00602A3F">
              <w:rPr>
                <w:rFonts w:ascii="Times" w:eastAsia="Batang" w:hAnsi="Times"/>
                <w:strike/>
                <w:color w:val="FF0000"/>
                <w:kern w:val="24"/>
                <w:u w:val="single"/>
                <w:lang w:val="en-US" w:eastAsia="en-GB"/>
              </w:rPr>
              <w:t>connected</w:t>
            </w:r>
            <w:r w:rsidRPr="00602A3F">
              <w:rPr>
                <w:rFonts w:ascii="Times" w:eastAsia="Batang" w:hAnsi="Times"/>
                <w:color w:val="FF0000"/>
                <w:kern w:val="24"/>
                <w:u w:val="single"/>
                <w:lang w:val="en-US" w:eastAsia="en-GB"/>
              </w:rPr>
              <w:t>,</w:t>
            </w:r>
            <w:r w:rsidRPr="00602A3F">
              <w:rPr>
                <w:rFonts w:ascii="Times" w:eastAsia="Batang" w:hAnsi="Times"/>
                <w:color w:val="124191"/>
                <w:kern w:val="24"/>
                <w:lang w:val="en-US" w:eastAsia="en-GB"/>
              </w:rPr>
              <w:t xml:space="preserve"> in-active, and idle modes</w:t>
            </w:r>
          </w:p>
          <w:p w14:paraId="299146E5" w14:textId="1C71F7FC" w:rsidR="00602A3F" w:rsidRPr="00602A3F" w:rsidRDefault="00602A3F" w:rsidP="00C00B8D">
            <w:pPr>
              <w:numPr>
                <w:ilvl w:val="0"/>
                <w:numId w:val="9"/>
              </w:numPr>
              <w:tabs>
                <w:tab w:val="left" w:pos="720"/>
              </w:tabs>
              <w:spacing w:after="0"/>
              <w:ind w:left="1267"/>
              <w:contextualSpacing/>
              <w:textAlignment w:val="baseline"/>
              <w:rPr>
                <w:szCs w:val="24"/>
                <w:lang w:eastAsia="en-GB"/>
              </w:rPr>
            </w:pPr>
            <w:r w:rsidRPr="00602A3F">
              <w:rPr>
                <w:rFonts w:ascii="Times" w:eastAsia="Batang" w:hAnsi="Times"/>
                <w:color w:val="124191"/>
                <w:kern w:val="24"/>
                <w:lang w:val="en-US" w:eastAsia="en-GB"/>
              </w:rPr>
              <w:t>Unicast PDSCH can be scheduled by a DCI associated with the CORESET #0</w:t>
            </w:r>
          </w:p>
        </w:tc>
      </w:tr>
    </w:tbl>
    <w:p w14:paraId="58373FBC" w14:textId="77777777" w:rsidR="00602A3F" w:rsidRDefault="00602A3F" w:rsidP="00C00B8D"/>
    <w:p w14:paraId="577165AE" w14:textId="5D13696B" w:rsidR="00563C2A" w:rsidRDefault="00602A3F" w:rsidP="00C00B8D">
      <w:r>
        <w:t xml:space="preserve">For the TCI state to be used </w:t>
      </w:r>
      <w:r w:rsidR="008F6321">
        <w:t>for CORESET#0, t</w:t>
      </w:r>
      <w:r>
        <w:t>he following alternatives were discussed by RAN1:</w:t>
      </w:r>
    </w:p>
    <w:p w14:paraId="76E372C6" w14:textId="5688533F" w:rsidR="00602A3F" w:rsidRDefault="00602A3F" w:rsidP="00602A3F">
      <w:pPr>
        <w:pStyle w:val="ListParagraph"/>
        <w:numPr>
          <w:ilvl w:val="0"/>
          <w:numId w:val="8"/>
        </w:numPr>
        <w:ind w:leftChars="0"/>
      </w:pPr>
      <w:r>
        <w:lastRenderedPageBreak/>
        <w:t xml:space="preserve">Alternative 1: </w:t>
      </w:r>
      <w:r w:rsidR="003142F2">
        <w:t>Clarify that broadcast PDCC</w:t>
      </w:r>
      <w:r w:rsidRPr="00602A3F">
        <w:t>CH uses selected SSB as QCL source for receiving broadcast data and that configured TCI states for CORESET #0 are used for reception of unicast data scheduled by PDCCH on search spaces other than SS#0</w:t>
      </w:r>
    </w:p>
    <w:p w14:paraId="107E6674" w14:textId="4ACDDE25" w:rsidR="00602A3F" w:rsidRDefault="00602A3F" w:rsidP="00602A3F">
      <w:pPr>
        <w:pStyle w:val="ListParagraph"/>
        <w:numPr>
          <w:ilvl w:val="0"/>
          <w:numId w:val="8"/>
        </w:numPr>
        <w:ind w:leftChars="0"/>
      </w:pPr>
      <w:r>
        <w:t xml:space="preserve">Alternative 1’: </w:t>
      </w:r>
      <w:r w:rsidRPr="00602A3F">
        <w:t>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14:paraId="56D01C70" w14:textId="10C55EA2" w:rsidR="00602A3F" w:rsidRDefault="00602A3F" w:rsidP="0009307E">
      <w:pPr>
        <w:pStyle w:val="ListParagraph"/>
        <w:numPr>
          <w:ilvl w:val="0"/>
          <w:numId w:val="8"/>
        </w:numPr>
        <w:ind w:leftChars="0"/>
      </w:pPr>
      <w:r>
        <w:t xml:space="preserve">Alternative 2: </w:t>
      </w:r>
      <w:r w:rsidRPr="00602A3F">
        <w:t>CORESET #0 is not RRC configured with TCI states.</w:t>
      </w:r>
      <w:r>
        <w:t xml:space="preserve"> </w:t>
      </w:r>
      <w:r w:rsidRPr="00602A3F">
        <w:t>According to the agreement above, the selected SSB is used as the QCL reference for reception of both broadcast and unicast PDCCH transmitted in CORESET #0.</w:t>
      </w:r>
      <w:r>
        <w:t xml:space="preserve"> </w:t>
      </w:r>
      <w:r w:rsidRPr="00602A3F">
        <w:t>The selected SSB is either (a) indicated explicitly to the UE by MAC-CE signalling. The MAC-CE message contains the ID of the selected SSB, or (b) determined by the UE through any contention based RACH procedure. The selected SSB is the most recent one between (a)MAC-CE and SSB selected as part of CBRA or CFRA(b).</w:t>
      </w:r>
      <w:r>
        <w:t xml:space="preserve"> </w:t>
      </w:r>
      <w:r w:rsidRPr="00602A3F">
        <w:t>FFS: How to provide a reference to TRS for demodulation of PDSCH</w:t>
      </w:r>
    </w:p>
    <w:p w14:paraId="7ECC3408" w14:textId="47D9E1EE" w:rsidR="00602A3F" w:rsidRDefault="008F6321" w:rsidP="008F6321">
      <w:pPr>
        <w:pStyle w:val="ListParagraph"/>
        <w:numPr>
          <w:ilvl w:val="0"/>
          <w:numId w:val="8"/>
        </w:numPr>
        <w:ind w:leftChars="0"/>
      </w:pPr>
      <w:r>
        <w:t xml:space="preserve">Alternative 3: </w:t>
      </w:r>
      <w:r w:rsidRPr="008F6321">
        <w:t>Any search space associated with the CORESET #0 cannot be used for unicast PDCCH with QCL Type D after RRC connection is established</w:t>
      </w:r>
      <w:r w:rsidR="00BA487C">
        <w:t>.</w:t>
      </w:r>
    </w:p>
    <w:p w14:paraId="2F2FFD20" w14:textId="4F419E18" w:rsidR="008F6321" w:rsidRDefault="008F6321" w:rsidP="008F6321">
      <w:pPr>
        <w:pStyle w:val="ListParagraph"/>
        <w:numPr>
          <w:ilvl w:val="0"/>
          <w:numId w:val="8"/>
        </w:numPr>
        <w:ind w:leftChars="0"/>
      </w:pPr>
      <w:r>
        <w:t xml:space="preserve">Alternative 3’: </w:t>
      </w:r>
      <w:r w:rsidRPr="008F6321">
        <w:t xml:space="preserve">Any search space associated with the CORESET #0 cannot be used for unicast PDCCH with QCL Type D after RRC connection is established. Align 6 PRB grid b/w CORESET #0 and other CORESETs. CORESET other than #0 can be configured for unicast PDCCH so that same physical resource configuration with the CORESET #0 with dedicated TCI-state configuration. In this case, </w:t>
      </w:r>
      <w:r w:rsidR="00F7297A">
        <w:t xml:space="preserve">there is </w:t>
      </w:r>
      <w:r w:rsidRPr="008F6321">
        <w:t>no need to configure TCI state on CORESET #0 itself.</w:t>
      </w:r>
    </w:p>
    <w:p w14:paraId="36275451" w14:textId="77777777" w:rsidR="00084E03" w:rsidRDefault="00084E03" w:rsidP="008F6321"/>
    <w:p w14:paraId="0ADA2E35" w14:textId="7607D9D9" w:rsidR="00BE31FD" w:rsidRDefault="00BE31FD" w:rsidP="008F6321">
      <w:r>
        <w:t xml:space="preserve">It has to be noted that the discussion triggered by RAN2 LS in RAN1 focused solely on the second question asked by RAN2, i.e. whether CORESET#0 should be configured with TCI states. </w:t>
      </w:r>
      <w:r w:rsidR="009F01F9">
        <w:t>The first question was somewhat ignored in the discussion and, in our understanding, this is due to the fact that for Random Access procedure it is already clear that for Random Access Response reception UE assumes QCL based on the beam (either SSB or CSI-RS) chosen for preamble transmission. Furthermore, RAN1 extensively discussed in the past whether TCI states should be configured per search space or CORESET. Eventually they decided to have it configured per CORESET and it is very unlikely that this decision can be revisited at this stage.</w:t>
      </w:r>
    </w:p>
    <w:p w14:paraId="263D5DDC" w14:textId="4095634C" w:rsidR="009F01F9" w:rsidRPr="009F01F9" w:rsidRDefault="009F01F9" w:rsidP="008F6321">
      <w:pPr>
        <w:rPr>
          <w:b/>
        </w:rPr>
      </w:pPr>
      <w:r>
        <w:rPr>
          <w:b/>
        </w:rPr>
        <w:t>Observation 1: It is already clear that for RAR reception UE</w:t>
      </w:r>
      <w:r w:rsidRPr="009F01F9">
        <w:t xml:space="preserve"> </w:t>
      </w:r>
      <w:r>
        <w:t xml:space="preserve">assumes </w:t>
      </w:r>
      <w:r w:rsidRPr="009F01F9">
        <w:rPr>
          <w:b/>
        </w:rPr>
        <w:t xml:space="preserve">QCL based on </w:t>
      </w:r>
      <w:r>
        <w:rPr>
          <w:b/>
        </w:rPr>
        <w:t xml:space="preserve">the </w:t>
      </w:r>
      <w:r w:rsidRPr="009F01F9">
        <w:rPr>
          <w:b/>
        </w:rPr>
        <w:t>SSB/CSI-RS</w:t>
      </w:r>
      <w:r>
        <w:rPr>
          <w:b/>
        </w:rPr>
        <w:t xml:space="preserve"> resource chosen for preamble transmission.</w:t>
      </w:r>
    </w:p>
    <w:p w14:paraId="278314C8" w14:textId="37D3B276" w:rsidR="001C71A4" w:rsidRDefault="00AA7D0F" w:rsidP="008F6321">
      <w:r>
        <w:t>Thus, the remaining decision that needs to be taken is about whether CORESET#0 needs to be configured dedicatedly with TCI states (similarly to other CORESETs) or not. Analysing shortly the alternatives discussed by RAN1, with a focus on RAN2 impacts, i</w:t>
      </w:r>
      <w:r w:rsidR="001C71A4">
        <w:t>t can be seen that:</w:t>
      </w:r>
    </w:p>
    <w:p w14:paraId="1B411BE5" w14:textId="0944A93A" w:rsidR="008F6321" w:rsidRDefault="001C71A4" w:rsidP="001C71A4">
      <w:pPr>
        <w:pStyle w:val="ListParagraph"/>
        <w:numPr>
          <w:ilvl w:val="0"/>
          <w:numId w:val="8"/>
        </w:numPr>
        <w:ind w:leftChars="0"/>
      </w:pPr>
      <w:r>
        <w:t>Alternatives 1 and 1’ require updates in RRC specifications</w:t>
      </w:r>
      <w:r w:rsidR="001478E0">
        <w:t xml:space="preserve"> to configure TCI state for CORESET#0.</w:t>
      </w:r>
    </w:p>
    <w:p w14:paraId="5B5A4854" w14:textId="0C6217B0" w:rsidR="001C71A4" w:rsidRDefault="001C71A4" w:rsidP="001C71A4">
      <w:pPr>
        <w:pStyle w:val="ListParagraph"/>
        <w:numPr>
          <w:ilvl w:val="0"/>
          <w:numId w:val="8"/>
        </w:numPr>
        <w:ind w:leftChars="0"/>
      </w:pPr>
      <w:r>
        <w:t xml:space="preserve">Alternative 2 requires modifications to MAC specifications by defining new MAC CE command. </w:t>
      </w:r>
      <w:r w:rsidR="008D5DD1">
        <w:t>What is more it would define a new procedure for activating TCI states for CORESET#0, different from the one, which already exists for other CORESETs. At the same time, existing MAC CE, in case TCI states were added as proposed by Alternative 1, could be applied equally to CORESET#0 without any additional changes to MAC specifications.</w:t>
      </w:r>
    </w:p>
    <w:p w14:paraId="1E439254" w14:textId="6FA8B18F" w:rsidR="001478E0" w:rsidRDefault="001C71A4" w:rsidP="00813AE6">
      <w:pPr>
        <w:pStyle w:val="ListParagraph"/>
        <w:numPr>
          <w:ilvl w:val="0"/>
          <w:numId w:val="8"/>
        </w:numPr>
        <w:ind w:leftChars="0"/>
      </w:pPr>
      <w:r>
        <w:t>Alt</w:t>
      </w:r>
      <w:r w:rsidR="001478E0">
        <w:t>e</w:t>
      </w:r>
      <w:r>
        <w:t xml:space="preserve">rnative 3 and 3’ </w:t>
      </w:r>
      <w:r w:rsidR="00D96B31">
        <w:t>do</w:t>
      </w:r>
      <w:r w:rsidR="001478E0">
        <w:t xml:space="preserve"> not require any modifications to RAN2 specifications as TCI state to be used for CORESET#0 would be deduced based on the configuration of dedicated CORESETs.</w:t>
      </w:r>
    </w:p>
    <w:p w14:paraId="38DA02AF" w14:textId="06E5ACB2" w:rsidR="008F6321" w:rsidRDefault="008F6321" w:rsidP="008F6321"/>
    <w:p w14:paraId="07306A55" w14:textId="43662D6F" w:rsidR="008D5DD1" w:rsidRDefault="008D5DD1" w:rsidP="008F6321">
      <w:r>
        <w:t>Based on the points made above, we think Alternative 2 is overcomplicated and unnecessarily introduces additional mechanism while the existing one could be used in a similar way in case TCI states are added for CORESET#0. Also since this is a relatively simple change in RAN2 (</w:t>
      </w:r>
      <w:r w:rsidRPr="008D5DD1">
        <w:t xml:space="preserve">TCI states could be added </w:t>
      </w:r>
      <w:r w:rsidR="00FC0B14">
        <w:t xml:space="preserve">to </w:t>
      </w:r>
      <w:r w:rsidR="00FC0B14" w:rsidRPr="00F35584">
        <w:t>PDCCH-ConfigCommon</w:t>
      </w:r>
      <w:r w:rsidR="00FC0B14">
        <w:t xml:space="preserve"> IE as optional parameter), we think it would be reasonable to go this way.</w:t>
      </w:r>
    </w:p>
    <w:p w14:paraId="41E9E13A" w14:textId="1E3A742D" w:rsidR="00FC0B14" w:rsidRPr="00FC0B14" w:rsidRDefault="00FC0B14" w:rsidP="008F6321">
      <w:pPr>
        <w:rPr>
          <w:b/>
        </w:rPr>
      </w:pPr>
      <w:r>
        <w:rPr>
          <w:b/>
        </w:rPr>
        <w:t xml:space="preserve">Proposal 1: Support TCI states configuration for CORESET#0 by introducing it as an optional field within </w:t>
      </w:r>
      <w:r w:rsidRPr="00FC0B14">
        <w:rPr>
          <w:b/>
        </w:rPr>
        <w:t>PDCCH-ConfigCommon</w:t>
      </w:r>
      <w:r>
        <w:rPr>
          <w:b/>
        </w:rPr>
        <w:t>.</w:t>
      </w:r>
    </w:p>
    <w:p w14:paraId="6C997ECD" w14:textId="77777777" w:rsidR="00FC0B14" w:rsidRDefault="00FC0B14" w:rsidP="008F6321">
      <w:r>
        <w:t xml:space="preserve">In our opinion, this is the simplest and most efficient approach, but in case this is not agreeable to companies, we would like to at least have Alternative 2 excluded by RAN2 based on the arguments above. </w:t>
      </w:r>
    </w:p>
    <w:p w14:paraId="0AC6AAE8" w14:textId="4CD24836" w:rsidR="00FC0B14" w:rsidRDefault="00FC0B14" w:rsidP="008F6321">
      <w:pPr>
        <w:rPr>
          <w:b/>
        </w:rPr>
      </w:pPr>
      <w:r w:rsidRPr="00FC0B14">
        <w:rPr>
          <w:b/>
        </w:rPr>
        <w:t>Proposal 2:</w:t>
      </w:r>
      <w:r>
        <w:rPr>
          <w:b/>
        </w:rPr>
        <w:t xml:space="preserve"> RAN2 should at least indicate to RAN1 that Alternative 2 introduces unnecessarily an additional mechanism without clear gains and has big impact on RAN2 specifications. Thus, it is not preferred by RAN2. </w:t>
      </w:r>
    </w:p>
    <w:p w14:paraId="3A2916AF" w14:textId="6F2976B8" w:rsidR="00FC0B14" w:rsidRDefault="00FC0B14" w:rsidP="008F6321">
      <w:r w:rsidRPr="00FC0B14">
        <w:t>RAN</w:t>
      </w:r>
      <w:r>
        <w:t>2 is kindly requested to discuss the above proposals and the decision should be communicated to RAN1.</w:t>
      </w:r>
    </w:p>
    <w:p w14:paraId="24BC5A1F" w14:textId="009FBE9D" w:rsidR="00FC0B14" w:rsidRPr="00FC0B14" w:rsidRDefault="00FC0B14" w:rsidP="008F6321">
      <w:pPr>
        <w:rPr>
          <w:b/>
        </w:rPr>
      </w:pPr>
      <w:r>
        <w:rPr>
          <w:b/>
        </w:rPr>
        <w:lastRenderedPageBreak/>
        <w:t xml:space="preserve">Proposal 3: RAN2 should send an LS to RAN1 </w:t>
      </w:r>
      <w:r w:rsidR="00B21772">
        <w:rPr>
          <w:b/>
        </w:rPr>
        <w:t>informing</w:t>
      </w:r>
      <w:r>
        <w:rPr>
          <w:b/>
        </w:rPr>
        <w:t xml:space="preserve"> </w:t>
      </w:r>
      <w:r w:rsidR="00F17907">
        <w:rPr>
          <w:b/>
        </w:rPr>
        <w:t>about RAN2 preference with regards to the alternatives discussed by RAN1.</w:t>
      </w:r>
    </w:p>
    <w:p w14:paraId="43A12B72" w14:textId="2A040866" w:rsidR="00CD4C7B" w:rsidRPr="00BD53B7" w:rsidRDefault="00D1634A" w:rsidP="00CD4C7B">
      <w:pPr>
        <w:pStyle w:val="Heading1"/>
      </w:pPr>
      <w:r w:rsidRPr="00BD53B7">
        <w:t>3</w:t>
      </w:r>
      <w:r w:rsidR="00CD4C7B" w:rsidRPr="00BD53B7">
        <w:tab/>
      </w:r>
      <w:r w:rsidRPr="00BD53B7">
        <w:t>Summary</w:t>
      </w:r>
    </w:p>
    <w:p w14:paraId="0C72CBE7" w14:textId="27627A0A" w:rsidR="00F17907" w:rsidRDefault="00F17907" w:rsidP="00F17907">
      <w:r w:rsidRPr="00F17907">
        <w:t xml:space="preserve">This </w:t>
      </w:r>
      <w:r>
        <w:t>paper attempts to provide the answers for the following questions:</w:t>
      </w:r>
    </w:p>
    <w:p w14:paraId="31ADCF28" w14:textId="77777777" w:rsidR="00F17907" w:rsidRDefault="00F17907" w:rsidP="00F17907">
      <w:pPr>
        <w:pStyle w:val="ListParagraph"/>
        <w:numPr>
          <w:ilvl w:val="0"/>
          <w:numId w:val="12"/>
        </w:numPr>
        <w:ind w:leftChars="0"/>
      </w:pPr>
      <w:r>
        <w:t>Should</w:t>
      </w:r>
      <w:r w:rsidRPr="00BA487C">
        <w:t xml:space="preserve"> tci-StatesPDCCH </w:t>
      </w:r>
      <w:r>
        <w:t>be</w:t>
      </w:r>
      <w:r w:rsidRPr="00BA487C">
        <w:t xml:space="preserve"> ignored during the RA procedure</w:t>
      </w:r>
      <w:r>
        <w:t xml:space="preserve"> (e.g. during handover or SCG addition)</w:t>
      </w:r>
      <w:r w:rsidRPr="00BA487C">
        <w:t xml:space="preserve"> </w:t>
      </w:r>
      <w:r>
        <w:t>o</w:t>
      </w:r>
      <w:r w:rsidRPr="00BA487C">
        <w:t xml:space="preserve">r should the tci-StatesPDCCH </w:t>
      </w:r>
      <w:r>
        <w:t xml:space="preserve">be provided </w:t>
      </w:r>
      <w:r w:rsidRPr="00BA487C">
        <w:t>in the SearchSpace?</w:t>
      </w:r>
    </w:p>
    <w:p w14:paraId="73F0EF0B" w14:textId="77777777" w:rsidR="00F17907" w:rsidRDefault="00F17907" w:rsidP="00F17907">
      <w:pPr>
        <w:pStyle w:val="ListParagraph"/>
        <w:numPr>
          <w:ilvl w:val="0"/>
          <w:numId w:val="12"/>
        </w:numPr>
        <w:ind w:leftChars="0"/>
      </w:pPr>
      <w:r>
        <w:t>Is CORESET#0 supposed to be configurable dedicatedly with a TCI-state and are RAN2 changes required for that?</w:t>
      </w:r>
    </w:p>
    <w:p w14:paraId="07F08869" w14:textId="731FDE22" w:rsidR="00F17907" w:rsidRPr="00F17907" w:rsidRDefault="00F17907" w:rsidP="00F17907">
      <w:r>
        <w:t>Based on the presented analysis it is observed and proposed that:</w:t>
      </w:r>
    </w:p>
    <w:p w14:paraId="2BC90479" w14:textId="479A7B23" w:rsidR="00F17907" w:rsidRPr="009F01F9" w:rsidRDefault="00F17907" w:rsidP="00F17907">
      <w:pPr>
        <w:rPr>
          <w:b/>
        </w:rPr>
      </w:pPr>
      <w:r>
        <w:rPr>
          <w:b/>
        </w:rPr>
        <w:t>Observation 1: It is already clear that for RAR reception UE</w:t>
      </w:r>
      <w:r w:rsidRPr="009F01F9">
        <w:t xml:space="preserve"> </w:t>
      </w:r>
      <w:r>
        <w:t xml:space="preserve">assumes </w:t>
      </w:r>
      <w:r w:rsidRPr="009F01F9">
        <w:rPr>
          <w:b/>
        </w:rPr>
        <w:t xml:space="preserve">QCL based on </w:t>
      </w:r>
      <w:r>
        <w:rPr>
          <w:b/>
        </w:rPr>
        <w:t xml:space="preserve">the </w:t>
      </w:r>
      <w:r w:rsidRPr="009F01F9">
        <w:rPr>
          <w:b/>
        </w:rPr>
        <w:t>SSB/CSI-RS</w:t>
      </w:r>
      <w:r>
        <w:rPr>
          <w:b/>
        </w:rPr>
        <w:t xml:space="preserve"> resource chosen for preamble transmission.</w:t>
      </w:r>
    </w:p>
    <w:p w14:paraId="59BD5E43" w14:textId="77777777" w:rsidR="00F17907" w:rsidRPr="00FC0B14" w:rsidRDefault="00F17907" w:rsidP="00F17907">
      <w:pPr>
        <w:rPr>
          <w:b/>
        </w:rPr>
      </w:pPr>
      <w:r>
        <w:rPr>
          <w:b/>
        </w:rPr>
        <w:t xml:space="preserve">Proposal 1: Support TCI states configuration for CORESET#0 by introducing it as an optional field within </w:t>
      </w:r>
      <w:r w:rsidRPr="00FC0B14">
        <w:rPr>
          <w:b/>
        </w:rPr>
        <w:t>PDCCH-ConfigCommon</w:t>
      </w:r>
      <w:r>
        <w:rPr>
          <w:b/>
        </w:rPr>
        <w:t>.</w:t>
      </w:r>
    </w:p>
    <w:p w14:paraId="50D6150B" w14:textId="77777777" w:rsidR="00F17907" w:rsidRDefault="00F17907" w:rsidP="00F17907">
      <w:pPr>
        <w:rPr>
          <w:b/>
        </w:rPr>
      </w:pPr>
      <w:r w:rsidRPr="00FC0B14">
        <w:rPr>
          <w:b/>
        </w:rPr>
        <w:t>Proposal 2:</w:t>
      </w:r>
      <w:r>
        <w:rPr>
          <w:b/>
        </w:rPr>
        <w:t xml:space="preserve"> RAN2 should at least indicate to RAN1 that Alternative 2 introduces unnecessarily an additional mechanism without clear gains and has big impact on RAN2 specifications. Thus, it is not preferred by RAN2. </w:t>
      </w:r>
    </w:p>
    <w:p w14:paraId="3FF225A1" w14:textId="2B6C1B8B" w:rsidR="00F17907" w:rsidRPr="00FC0B14" w:rsidRDefault="00F17907" w:rsidP="00F17907">
      <w:pPr>
        <w:rPr>
          <w:b/>
        </w:rPr>
      </w:pPr>
      <w:r>
        <w:rPr>
          <w:b/>
        </w:rPr>
        <w:t xml:space="preserve">Proposal 3: RAN2 should send an LS to RAN1 informing </w:t>
      </w:r>
      <w:bookmarkStart w:id="0" w:name="_GoBack"/>
      <w:bookmarkEnd w:id="0"/>
      <w:r>
        <w:rPr>
          <w:b/>
        </w:rPr>
        <w:t>about RAN2 preference with regards to the alternatives discussed by RAN1.</w:t>
      </w:r>
    </w:p>
    <w:p w14:paraId="50788BC1" w14:textId="19C92438" w:rsidR="007474FA" w:rsidRPr="00B67CD8" w:rsidRDefault="007474FA" w:rsidP="007474FA">
      <w:pPr>
        <w:rPr>
          <w:b/>
        </w:rPr>
      </w:pPr>
    </w:p>
    <w:p w14:paraId="0FDCFAC2" w14:textId="77777777" w:rsidR="00CD4C7B" w:rsidRPr="006E13D1" w:rsidRDefault="00CD4C7B" w:rsidP="00CD4C7B">
      <w:pPr>
        <w:pStyle w:val="Heading1"/>
      </w:pPr>
      <w:r w:rsidRPr="006E13D1">
        <w:t>References</w:t>
      </w:r>
    </w:p>
    <w:p w14:paraId="594C1415" w14:textId="2869A84F" w:rsidR="001359A8" w:rsidRPr="0024024E" w:rsidRDefault="00194A62" w:rsidP="00F17907">
      <w:pPr>
        <w:numPr>
          <w:ilvl w:val="0"/>
          <w:numId w:val="4"/>
        </w:numPr>
        <w:overflowPunct w:val="0"/>
        <w:autoSpaceDE w:val="0"/>
        <w:autoSpaceDN w:val="0"/>
        <w:adjustRightInd w:val="0"/>
        <w:textAlignment w:val="baseline"/>
      </w:pPr>
      <w:bookmarkStart w:id="1" w:name="_Ref513713810"/>
      <w:r w:rsidRPr="00194A62">
        <w:t>R2-1808992</w:t>
      </w:r>
      <w:r>
        <w:t xml:space="preserve"> - </w:t>
      </w:r>
      <w:r w:rsidRPr="00194A62">
        <w:rPr>
          <w:i/>
        </w:rPr>
        <w:t>Reply LS on PDCCH common search space configurations</w:t>
      </w:r>
      <w:r>
        <w:t>, Source: RAN2</w:t>
      </w:r>
      <w:bookmarkEnd w:id="1"/>
    </w:p>
    <w:sectPr w:rsidR="001359A8" w:rsidRPr="0024024E" w:rsidSect="001359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20CBD" w14:textId="77777777" w:rsidR="00932F41" w:rsidRDefault="00932F41">
      <w:r>
        <w:separator/>
      </w:r>
    </w:p>
  </w:endnote>
  <w:endnote w:type="continuationSeparator" w:id="0">
    <w:p w14:paraId="33915CCB" w14:textId="77777777" w:rsidR="00932F41" w:rsidRDefault="0093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A8CB" w14:textId="77777777" w:rsidR="0020293C" w:rsidRDefault="002029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303D0" w14:textId="77777777" w:rsidR="0020293C" w:rsidRDefault="002029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000B" w14:textId="77777777" w:rsidR="0020293C" w:rsidRDefault="002029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ACEB5" w14:textId="77777777" w:rsidR="00932F41" w:rsidRDefault="00932F41">
      <w:r>
        <w:separator/>
      </w:r>
    </w:p>
  </w:footnote>
  <w:footnote w:type="continuationSeparator" w:id="0">
    <w:p w14:paraId="4BD272B0" w14:textId="77777777" w:rsidR="00932F41" w:rsidRDefault="0093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B8059" w14:textId="77777777" w:rsidR="0020293C" w:rsidRDefault="002029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8634" w14:textId="77777777" w:rsidR="0020293C" w:rsidRDefault="00202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EAF7A" w14:textId="77777777" w:rsidR="0020293C" w:rsidRDefault="00202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00CF3"/>
    <w:multiLevelType w:val="hybridMultilevel"/>
    <w:tmpl w:val="0E86A396"/>
    <w:lvl w:ilvl="0" w:tplc="473E8940">
      <w:start w:val="1"/>
      <w:numFmt w:val="bullet"/>
      <w:lvlText w:val="•"/>
      <w:lvlJc w:val="left"/>
      <w:pPr>
        <w:tabs>
          <w:tab w:val="num" w:pos="720"/>
        </w:tabs>
        <w:ind w:left="720" w:hanging="360"/>
      </w:pPr>
      <w:rPr>
        <w:rFonts w:ascii="Arial" w:hAnsi="Arial" w:hint="default"/>
      </w:rPr>
    </w:lvl>
    <w:lvl w:ilvl="1" w:tplc="DF8CC1E4">
      <w:numFmt w:val="bullet"/>
      <w:lvlText w:val="•"/>
      <w:lvlJc w:val="left"/>
      <w:pPr>
        <w:tabs>
          <w:tab w:val="num" w:pos="1440"/>
        </w:tabs>
        <w:ind w:left="1440" w:hanging="360"/>
      </w:pPr>
      <w:rPr>
        <w:rFonts w:ascii="Arial" w:hAnsi="Arial" w:hint="default"/>
      </w:rPr>
    </w:lvl>
    <w:lvl w:ilvl="2" w:tplc="F976AAAC" w:tentative="1">
      <w:start w:val="1"/>
      <w:numFmt w:val="bullet"/>
      <w:lvlText w:val="•"/>
      <w:lvlJc w:val="left"/>
      <w:pPr>
        <w:tabs>
          <w:tab w:val="num" w:pos="2160"/>
        </w:tabs>
        <w:ind w:left="2160" w:hanging="360"/>
      </w:pPr>
      <w:rPr>
        <w:rFonts w:ascii="Arial" w:hAnsi="Arial" w:hint="default"/>
      </w:rPr>
    </w:lvl>
    <w:lvl w:ilvl="3" w:tplc="00843592" w:tentative="1">
      <w:start w:val="1"/>
      <w:numFmt w:val="bullet"/>
      <w:lvlText w:val="•"/>
      <w:lvlJc w:val="left"/>
      <w:pPr>
        <w:tabs>
          <w:tab w:val="num" w:pos="2880"/>
        </w:tabs>
        <w:ind w:left="2880" w:hanging="360"/>
      </w:pPr>
      <w:rPr>
        <w:rFonts w:ascii="Arial" w:hAnsi="Arial" w:hint="default"/>
      </w:rPr>
    </w:lvl>
    <w:lvl w:ilvl="4" w:tplc="8D08F854" w:tentative="1">
      <w:start w:val="1"/>
      <w:numFmt w:val="bullet"/>
      <w:lvlText w:val="•"/>
      <w:lvlJc w:val="left"/>
      <w:pPr>
        <w:tabs>
          <w:tab w:val="num" w:pos="3600"/>
        </w:tabs>
        <w:ind w:left="3600" w:hanging="360"/>
      </w:pPr>
      <w:rPr>
        <w:rFonts w:ascii="Arial" w:hAnsi="Arial" w:hint="default"/>
      </w:rPr>
    </w:lvl>
    <w:lvl w:ilvl="5" w:tplc="56D6CA96" w:tentative="1">
      <w:start w:val="1"/>
      <w:numFmt w:val="bullet"/>
      <w:lvlText w:val="•"/>
      <w:lvlJc w:val="left"/>
      <w:pPr>
        <w:tabs>
          <w:tab w:val="num" w:pos="4320"/>
        </w:tabs>
        <w:ind w:left="4320" w:hanging="360"/>
      </w:pPr>
      <w:rPr>
        <w:rFonts w:ascii="Arial" w:hAnsi="Arial" w:hint="default"/>
      </w:rPr>
    </w:lvl>
    <w:lvl w:ilvl="6" w:tplc="86D4F32A" w:tentative="1">
      <w:start w:val="1"/>
      <w:numFmt w:val="bullet"/>
      <w:lvlText w:val="•"/>
      <w:lvlJc w:val="left"/>
      <w:pPr>
        <w:tabs>
          <w:tab w:val="num" w:pos="5040"/>
        </w:tabs>
        <w:ind w:left="5040" w:hanging="360"/>
      </w:pPr>
      <w:rPr>
        <w:rFonts w:ascii="Arial" w:hAnsi="Arial" w:hint="default"/>
      </w:rPr>
    </w:lvl>
    <w:lvl w:ilvl="7" w:tplc="257A0540" w:tentative="1">
      <w:start w:val="1"/>
      <w:numFmt w:val="bullet"/>
      <w:lvlText w:val="•"/>
      <w:lvlJc w:val="left"/>
      <w:pPr>
        <w:tabs>
          <w:tab w:val="num" w:pos="5760"/>
        </w:tabs>
        <w:ind w:left="5760" w:hanging="360"/>
      </w:pPr>
      <w:rPr>
        <w:rFonts w:ascii="Arial" w:hAnsi="Arial" w:hint="default"/>
      </w:rPr>
    </w:lvl>
    <w:lvl w:ilvl="8" w:tplc="B9DCB49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72F2A"/>
    <w:multiLevelType w:val="hybridMultilevel"/>
    <w:tmpl w:val="9F9ED71C"/>
    <w:lvl w:ilvl="0" w:tplc="08090001">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A2101"/>
    <w:multiLevelType w:val="hybridMultilevel"/>
    <w:tmpl w:val="D7E2BA54"/>
    <w:lvl w:ilvl="0" w:tplc="BF1ABB5C">
      <w:start w:val="1"/>
      <w:numFmt w:val="bullet"/>
      <w:lvlText w:val="•"/>
      <w:lvlJc w:val="left"/>
      <w:pPr>
        <w:tabs>
          <w:tab w:val="num" w:pos="720"/>
        </w:tabs>
        <w:ind w:left="720" w:hanging="360"/>
      </w:pPr>
      <w:rPr>
        <w:rFonts w:ascii="Arial" w:hAnsi="Arial" w:hint="default"/>
      </w:rPr>
    </w:lvl>
    <w:lvl w:ilvl="1" w:tplc="4AC85E9C">
      <w:numFmt w:val="bullet"/>
      <w:lvlText w:val="•"/>
      <w:lvlJc w:val="left"/>
      <w:pPr>
        <w:tabs>
          <w:tab w:val="num" w:pos="1440"/>
        </w:tabs>
        <w:ind w:left="1440" w:hanging="360"/>
      </w:pPr>
      <w:rPr>
        <w:rFonts w:ascii="Arial" w:hAnsi="Arial" w:hint="default"/>
      </w:rPr>
    </w:lvl>
    <w:lvl w:ilvl="2" w:tplc="2306DE5A" w:tentative="1">
      <w:start w:val="1"/>
      <w:numFmt w:val="bullet"/>
      <w:lvlText w:val="•"/>
      <w:lvlJc w:val="left"/>
      <w:pPr>
        <w:tabs>
          <w:tab w:val="num" w:pos="2160"/>
        </w:tabs>
        <w:ind w:left="2160" w:hanging="360"/>
      </w:pPr>
      <w:rPr>
        <w:rFonts w:ascii="Arial" w:hAnsi="Arial" w:hint="default"/>
      </w:rPr>
    </w:lvl>
    <w:lvl w:ilvl="3" w:tplc="A85A17D6" w:tentative="1">
      <w:start w:val="1"/>
      <w:numFmt w:val="bullet"/>
      <w:lvlText w:val="•"/>
      <w:lvlJc w:val="left"/>
      <w:pPr>
        <w:tabs>
          <w:tab w:val="num" w:pos="2880"/>
        </w:tabs>
        <w:ind w:left="2880" w:hanging="360"/>
      </w:pPr>
      <w:rPr>
        <w:rFonts w:ascii="Arial" w:hAnsi="Arial" w:hint="default"/>
      </w:rPr>
    </w:lvl>
    <w:lvl w:ilvl="4" w:tplc="EC7879F4" w:tentative="1">
      <w:start w:val="1"/>
      <w:numFmt w:val="bullet"/>
      <w:lvlText w:val="•"/>
      <w:lvlJc w:val="left"/>
      <w:pPr>
        <w:tabs>
          <w:tab w:val="num" w:pos="3600"/>
        </w:tabs>
        <w:ind w:left="3600" w:hanging="360"/>
      </w:pPr>
      <w:rPr>
        <w:rFonts w:ascii="Arial" w:hAnsi="Arial" w:hint="default"/>
      </w:rPr>
    </w:lvl>
    <w:lvl w:ilvl="5" w:tplc="0C8233DE" w:tentative="1">
      <w:start w:val="1"/>
      <w:numFmt w:val="bullet"/>
      <w:lvlText w:val="•"/>
      <w:lvlJc w:val="left"/>
      <w:pPr>
        <w:tabs>
          <w:tab w:val="num" w:pos="4320"/>
        </w:tabs>
        <w:ind w:left="4320" w:hanging="360"/>
      </w:pPr>
      <w:rPr>
        <w:rFonts w:ascii="Arial" w:hAnsi="Arial" w:hint="default"/>
      </w:rPr>
    </w:lvl>
    <w:lvl w:ilvl="6" w:tplc="20EC4350" w:tentative="1">
      <w:start w:val="1"/>
      <w:numFmt w:val="bullet"/>
      <w:lvlText w:val="•"/>
      <w:lvlJc w:val="left"/>
      <w:pPr>
        <w:tabs>
          <w:tab w:val="num" w:pos="5040"/>
        </w:tabs>
        <w:ind w:left="5040" w:hanging="360"/>
      </w:pPr>
      <w:rPr>
        <w:rFonts w:ascii="Arial" w:hAnsi="Arial" w:hint="default"/>
      </w:rPr>
    </w:lvl>
    <w:lvl w:ilvl="7" w:tplc="A0AA326E" w:tentative="1">
      <w:start w:val="1"/>
      <w:numFmt w:val="bullet"/>
      <w:lvlText w:val="•"/>
      <w:lvlJc w:val="left"/>
      <w:pPr>
        <w:tabs>
          <w:tab w:val="num" w:pos="5760"/>
        </w:tabs>
        <w:ind w:left="5760" w:hanging="360"/>
      </w:pPr>
      <w:rPr>
        <w:rFonts w:ascii="Arial" w:hAnsi="Arial" w:hint="default"/>
      </w:rPr>
    </w:lvl>
    <w:lvl w:ilvl="8" w:tplc="2AFEDB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280A8D"/>
    <w:multiLevelType w:val="hybridMultilevel"/>
    <w:tmpl w:val="EDBCCB4A"/>
    <w:lvl w:ilvl="0" w:tplc="5E6256FE">
      <w:start w:val="1"/>
      <w:numFmt w:val="bullet"/>
      <w:lvlText w:val="•"/>
      <w:lvlJc w:val="left"/>
      <w:pPr>
        <w:tabs>
          <w:tab w:val="num" w:pos="720"/>
        </w:tabs>
        <w:ind w:left="720" w:hanging="360"/>
      </w:pPr>
      <w:rPr>
        <w:rFonts w:ascii="Arial" w:hAnsi="Arial" w:hint="default"/>
      </w:rPr>
    </w:lvl>
    <w:lvl w:ilvl="1" w:tplc="B2226EB6">
      <w:start w:val="1"/>
      <w:numFmt w:val="bullet"/>
      <w:lvlText w:val="•"/>
      <w:lvlJc w:val="left"/>
      <w:pPr>
        <w:tabs>
          <w:tab w:val="num" w:pos="1440"/>
        </w:tabs>
        <w:ind w:left="1440" w:hanging="360"/>
      </w:pPr>
      <w:rPr>
        <w:rFonts w:ascii="Arial" w:hAnsi="Arial" w:hint="default"/>
      </w:rPr>
    </w:lvl>
    <w:lvl w:ilvl="2" w:tplc="D5CA3164">
      <w:start w:val="1"/>
      <w:numFmt w:val="bullet"/>
      <w:lvlText w:val="•"/>
      <w:lvlJc w:val="left"/>
      <w:pPr>
        <w:tabs>
          <w:tab w:val="num" w:pos="2160"/>
        </w:tabs>
        <w:ind w:left="2160" w:hanging="360"/>
      </w:pPr>
      <w:rPr>
        <w:rFonts w:ascii="Arial" w:hAnsi="Arial" w:hint="default"/>
      </w:rPr>
    </w:lvl>
    <w:lvl w:ilvl="3" w:tplc="5714EEFA" w:tentative="1">
      <w:start w:val="1"/>
      <w:numFmt w:val="bullet"/>
      <w:lvlText w:val="•"/>
      <w:lvlJc w:val="left"/>
      <w:pPr>
        <w:tabs>
          <w:tab w:val="num" w:pos="2880"/>
        </w:tabs>
        <w:ind w:left="2880" w:hanging="360"/>
      </w:pPr>
      <w:rPr>
        <w:rFonts w:ascii="Arial" w:hAnsi="Arial" w:hint="default"/>
      </w:rPr>
    </w:lvl>
    <w:lvl w:ilvl="4" w:tplc="6E507CF4" w:tentative="1">
      <w:start w:val="1"/>
      <w:numFmt w:val="bullet"/>
      <w:lvlText w:val="•"/>
      <w:lvlJc w:val="left"/>
      <w:pPr>
        <w:tabs>
          <w:tab w:val="num" w:pos="3600"/>
        </w:tabs>
        <w:ind w:left="3600" w:hanging="360"/>
      </w:pPr>
      <w:rPr>
        <w:rFonts w:ascii="Arial" w:hAnsi="Arial" w:hint="default"/>
      </w:rPr>
    </w:lvl>
    <w:lvl w:ilvl="5" w:tplc="0292F682" w:tentative="1">
      <w:start w:val="1"/>
      <w:numFmt w:val="bullet"/>
      <w:lvlText w:val="•"/>
      <w:lvlJc w:val="left"/>
      <w:pPr>
        <w:tabs>
          <w:tab w:val="num" w:pos="4320"/>
        </w:tabs>
        <w:ind w:left="4320" w:hanging="360"/>
      </w:pPr>
      <w:rPr>
        <w:rFonts w:ascii="Arial" w:hAnsi="Arial" w:hint="default"/>
      </w:rPr>
    </w:lvl>
    <w:lvl w:ilvl="6" w:tplc="6402386E" w:tentative="1">
      <w:start w:val="1"/>
      <w:numFmt w:val="bullet"/>
      <w:lvlText w:val="•"/>
      <w:lvlJc w:val="left"/>
      <w:pPr>
        <w:tabs>
          <w:tab w:val="num" w:pos="5040"/>
        </w:tabs>
        <w:ind w:left="5040" w:hanging="360"/>
      </w:pPr>
      <w:rPr>
        <w:rFonts w:ascii="Arial" w:hAnsi="Arial" w:hint="default"/>
      </w:rPr>
    </w:lvl>
    <w:lvl w:ilvl="7" w:tplc="58A04D82" w:tentative="1">
      <w:start w:val="1"/>
      <w:numFmt w:val="bullet"/>
      <w:lvlText w:val="•"/>
      <w:lvlJc w:val="left"/>
      <w:pPr>
        <w:tabs>
          <w:tab w:val="num" w:pos="5760"/>
        </w:tabs>
        <w:ind w:left="5760" w:hanging="360"/>
      </w:pPr>
      <w:rPr>
        <w:rFonts w:ascii="Arial" w:hAnsi="Arial" w:hint="default"/>
      </w:rPr>
    </w:lvl>
    <w:lvl w:ilvl="8" w:tplc="0D50FA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923E64"/>
    <w:multiLevelType w:val="hybridMultilevel"/>
    <w:tmpl w:val="644C1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1410B4"/>
    <w:multiLevelType w:val="hybridMultilevel"/>
    <w:tmpl w:val="EB8629B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E5663"/>
    <w:multiLevelType w:val="hybridMultilevel"/>
    <w:tmpl w:val="EB8629B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8"/>
  </w:num>
  <w:num w:numId="6">
    <w:abstractNumId w:val="5"/>
  </w:num>
  <w:num w:numId="7">
    <w:abstractNumId w:val="4"/>
  </w:num>
  <w:num w:numId="8">
    <w:abstractNumId w:val="6"/>
  </w:num>
  <w:num w:numId="9">
    <w:abstractNumId w:val="1"/>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73B"/>
    <w:rsid w:val="00033397"/>
    <w:rsid w:val="00040095"/>
    <w:rsid w:val="00080512"/>
    <w:rsid w:val="00084E03"/>
    <w:rsid w:val="00090468"/>
    <w:rsid w:val="00097B11"/>
    <w:rsid w:val="000B7BCF"/>
    <w:rsid w:val="000C522B"/>
    <w:rsid w:val="000D58AB"/>
    <w:rsid w:val="00112F1A"/>
    <w:rsid w:val="00122C1D"/>
    <w:rsid w:val="001359A8"/>
    <w:rsid w:val="00145075"/>
    <w:rsid w:val="001478E0"/>
    <w:rsid w:val="001741A0"/>
    <w:rsid w:val="00175FA0"/>
    <w:rsid w:val="00185DAF"/>
    <w:rsid w:val="00194A62"/>
    <w:rsid w:val="00194CD0"/>
    <w:rsid w:val="001B49C9"/>
    <w:rsid w:val="001C4F79"/>
    <w:rsid w:val="001C71A4"/>
    <w:rsid w:val="001F168B"/>
    <w:rsid w:val="001F7831"/>
    <w:rsid w:val="0020293C"/>
    <w:rsid w:val="00204045"/>
    <w:rsid w:val="0020712B"/>
    <w:rsid w:val="0021161F"/>
    <w:rsid w:val="0022606D"/>
    <w:rsid w:val="00231728"/>
    <w:rsid w:val="0024024E"/>
    <w:rsid w:val="00260C24"/>
    <w:rsid w:val="00273BA6"/>
    <w:rsid w:val="002747EC"/>
    <w:rsid w:val="002855BF"/>
    <w:rsid w:val="002C07DC"/>
    <w:rsid w:val="002F0D22"/>
    <w:rsid w:val="002F56A6"/>
    <w:rsid w:val="003142F2"/>
    <w:rsid w:val="003172DC"/>
    <w:rsid w:val="00325AE3"/>
    <w:rsid w:val="00326069"/>
    <w:rsid w:val="0035326C"/>
    <w:rsid w:val="0035462D"/>
    <w:rsid w:val="00364B41"/>
    <w:rsid w:val="003653C6"/>
    <w:rsid w:val="003758C5"/>
    <w:rsid w:val="0037752F"/>
    <w:rsid w:val="00393795"/>
    <w:rsid w:val="003B29F5"/>
    <w:rsid w:val="003B40AD"/>
    <w:rsid w:val="003C4E37"/>
    <w:rsid w:val="003E16BE"/>
    <w:rsid w:val="003F4E28"/>
    <w:rsid w:val="004006E8"/>
    <w:rsid w:val="00401855"/>
    <w:rsid w:val="00402C7E"/>
    <w:rsid w:val="0043570C"/>
    <w:rsid w:val="00453B20"/>
    <w:rsid w:val="0047422D"/>
    <w:rsid w:val="00477455"/>
    <w:rsid w:val="004A1F7B"/>
    <w:rsid w:val="004C44D2"/>
    <w:rsid w:val="004D3578"/>
    <w:rsid w:val="004D380D"/>
    <w:rsid w:val="004E213A"/>
    <w:rsid w:val="004E6592"/>
    <w:rsid w:val="004F6F72"/>
    <w:rsid w:val="00503171"/>
    <w:rsid w:val="00506C28"/>
    <w:rsid w:val="00534DA0"/>
    <w:rsid w:val="00543E6C"/>
    <w:rsid w:val="005561FD"/>
    <w:rsid w:val="00563C2A"/>
    <w:rsid w:val="00565087"/>
    <w:rsid w:val="0056573F"/>
    <w:rsid w:val="0056692F"/>
    <w:rsid w:val="0059101B"/>
    <w:rsid w:val="005D268A"/>
    <w:rsid w:val="00602A3F"/>
    <w:rsid w:val="00611566"/>
    <w:rsid w:val="00646D99"/>
    <w:rsid w:val="00656910"/>
    <w:rsid w:val="00692F24"/>
    <w:rsid w:val="006968AE"/>
    <w:rsid w:val="006C38A0"/>
    <w:rsid w:val="006C630B"/>
    <w:rsid w:val="006C66D8"/>
    <w:rsid w:val="006D1E24"/>
    <w:rsid w:val="006E1417"/>
    <w:rsid w:val="006F6A2C"/>
    <w:rsid w:val="00710201"/>
    <w:rsid w:val="007342B5"/>
    <w:rsid w:val="00734A5B"/>
    <w:rsid w:val="00740A64"/>
    <w:rsid w:val="00744E76"/>
    <w:rsid w:val="007474FA"/>
    <w:rsid w:val="00757D40"/>
    <w:rsid w:val="00781F0F"/>
    <w:rsid w:val="0078727C"/>
    <w:rsid w:val="0079049D"/>
    <w:rsid w:val="00793DC5"/>
    <w:rsid w:val="007A4CF6"/>
    <w:rsid w:val="007B01EC"/>
    <w:rsid w:val="007B18D8"/>
    <w:rsid w:val="007C095F"/>
    <w:rsid w:val="007E7FC1"/>
    <w:rsid w:val="008028A4"/>
    <w:rsid w:val="00813245"/>
    <w:rsid w:val="00813287"/>
    <w:rsid w:val="00851C9D"/>
    <w:rsid w:val="008768CA"/>
    <w:rsid w:val="00877EF9"/>
    <w:rsid w:val="00880559"/>
    <w:rsid w:val="00881AB8"/>
    <w:rsid w:val="008B109D"/>
    <w:rsid w:val="008B5306"/>
    <w:rsid w:val="008C7B04"/>
    <w:rsid w:val="008D2E4D"/>
    <w:rsid w:val="008D5DD1"/>
    <w:rsid w:val="008E362D"/>
    <w:rsid w:val="008F1FB7"/>
    <w:rsid w:val="008F2D06"/>
    <w:rsid w:val="008F6321"/>
    <w:rsid w:val="008F64A2"/>
    <w:rsid w:val="0090271F"/>
    <w:rsid w:val="00902DB9"/>
    <w:rsid w:val="0090466A"/>
    <w:rsid w:val="00932F41"/>
    <w:rsid w:val="00936071"/>
    <w:rsid w:val="00940212"/>
    <w:rsid w:val="00942EC2"/>
    <w:rsid w:val="00961B32"/>
    <w:rsid w:val="00970DB3"/>
    <w:rsid w:val="00974BB0"/>
    <w:rsid w:val="009A0AF3"/>
    <w:rsid w:val="009B07CD"/>
    <w:rsid w:val="009C19E9"/>
    <w:rsid w:val="009D74A6"/>
    <w:rsid w:val="009F01F9"/>
    <w:rsid w:val="00A10F02"/>
    <w:rsid w:val="00A204CA"/>
    <w:rsid w:val="00A34668"/>
    <w:rsid w:val="00A4783E"/>
    <w:rsid w:val="00A53724"/>
    <w:rsid w:val="00A67274"/>
    <w:rsid w:val="00A82346"/>
    <w:rsid w:val="00A936F1"/>
    <w:rsid w:val="00A9671C"/>
    <w:rsid w:val="00AA05FD"/>
    <w:rsid w:val="00AA1553"/>
    <w:rsid w:val="00AA7D0F"/>
    <w:rsid w:val="00AE0A7C"/>
    <w:rsid w:val="00B05962"/>
    <w:rsid w:val="00B15449"/>
    <w:rsid w:val="00B21772"/>
    <w:rsid w:val="00B27303"/>
    <w:rsid w:val="00B47FD1"/>
    <w:rsid w:val="00B51677"/>
    <w:rsid w:val="00B516BB"/>
    <w:rsid w:val="00B5378F"/>
    <w:rsid w:val="00B67CD8"/>
    <w:rsid w:val="00BA487C"/>
    <w:rsid w:val="00BC3555"/>
    <w:rsid w:val="00BD505D"/>
    <w:rsid w:val="00BD53B7"/>
    <w:rsid w:val="00BE31FD"/>
    <w:rsid w:val="00BE3D4A"/>
    <w:rsid w:val="00C00B8D"/>
    <w:rsid w:val="00C12B51"/>
    <w:rsid w:val="00C24650"/>
    <w:rsid w:val="00C276BC"/>
    <w:rsid w:val="00C33079"/>
    <w:rsid w:val="00C579CD"/>
    <w:rsid w:val="00C63DFE"/>
    <w:rsid w:val="00C83A13"/>
    <w:rsid w:val="00C9068C"/>
    <w:rsid w:val="00C92967"/>
    <w:rsid w:val="00CA3D0C"/>
    <w:rsid w:val="00CA654B"/>
    <w:rsid w:val="00CD1D2E"/>
    <w:rsid w:val="00CD4BE5"/>
    <w:rsid w:val="00CD4C7B"/>
    <w:rsid w:val="00CF1203"/>
    <w:rsid w:val="00D13619"/>
    <w:rsid w:val="00D1634A"/>
    <w:rsid w:val="00D33BE3"/>
    <w:rsid w:val="00D3792D"/>
    <w:rsid w:val="00D55E47"/>
    <w:rsid w:val="00D62E19"/>
    <w:rsid w:val="00D67CD1"/>
    <w:rsid w:val="00D738D6"/>
    <w:rsid w:val="00D80795"/>
    <w:rsid w:val="00D83297"/>
    <w:rsid w:val="00D854BE"/>
    <w:rsid w:val="00D87E00"/>
    <w:rsid w:val="00D9134D"/>
    <w:rsid w:val="00D91A74"/>
    <w:rsid w:val="00D96B31"/>
    <w:rsid w:val="00D96D11"/>
    <w:rsid w:val="00DA7A03"/>
    <w:rsid w:val="00DB0DB8"/>
    <w:rsid w:val="00DB1818"/>
    <w:rsid w:val="00DC309B"/>
    <w:rsid w:val="00DC49CE"/>
    <w:rsid w:val="00DC4DA2"/>
    <w:rsid w:val="00E471CF"/>
    <w:rsid w:val="00E541A8"/>
    <w:rsid w:val="00E62835"/>
    <w:rsid w:val="00E77645"/>
    <w:rsid w:val="00E83697"/>
    <w:rsid w:val="00E934CE"/>
    <w:rsid w:val="00EC4A25"/>
    <w:rsid w:val="00F025A2"/>
    <w:rsid w:val="00F07388"/>
    <w:rsid w:val="00F17907"/>
    <w:rsid w:val="00F2026E"/>
    <w:rsid w:val="00F2210A"/>
    <w:rsid w:val="00F37743"/>
    <w:rsid w:val="00F54A3D"/>
    <w:rsid w:val="00F54CB0"/>
    <w:rsid w:val="00F653B8"/>
    <w:rsid w:val="00F71B89"/>
    <w:rsid w:val="00F7237D"/>
    <w:rsid w:val="00F7297A"/>
    <w:rsid w:val="00F7353C"/>
    <w:rsid w:val="00F76F8F"/>
    <w:rsid w:val="00F93BE1"/>
    <w:rsid w:val="00FA1266"/>
    <w:rsid w:val="00FB36FA"/>
    <w:rsid w:val="00FC0B14"/>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77DC64F-E1F9-40D2-B1FC-14FA7182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00B8D"/>
    <w:rPr>
      <w:lang w:eastAsia="en-US"/>
    </w:rPr>
  </w:style>
  <w:style w:type="character" w:customStyle="1" w:styleId="B2Char">
    <w:name w:val="B2 Char"/>
    <w:link w:val="B2"/>
    <w:rsid w:val="00C00B8D"/>
    <w:rPr>
      <w:lang w:eastAsia="en-US"/>
    </w:rPr>
  </w:style>
  <w:style w:type="character" w:customStyle="1" w:styleId="B3Char">
    <w:name w:val="B3 Char"/>
    <w:link w:val="B3"/>
    <w:rsid w:val="00C00B8D"/>
    <w:rPr>
      <w:lang w:eastAsia="en-US"/>
    </w:rPr>
  </w:style>
  <w:style w:type="character" w:styleId="CommentReference">
    <w:name w:val="annotation reference"/>
    <w:basedOn w:val="DefaultParagraphFont"/>
    <w:rsid w:val="00D1634A"/>
    <w:rPr>
      <w:sz w:val="16"/>
      <w:szCs w:val="16"/>
    </w:rPr>
  </w:style>
  <w:style w:type="paragraph" w:styleId="CommentText">
    <w:name w:val="annotation text"/>
    <w:basedOn w:val="Normal"/>
    <w:link w:val="CommentTextChar"/>
    <w:rsid w:val="00D1634A"/>
  </w:style>
  <w:style w:type="character" w:customStyle="1" w:styleId="CommentTextChar">
    <w:name w:val="Comment Text Char"/>
    <w:basedOn w:val="DefaultParagraphFont"/>
    <w:link w:val="CommentText"/>
    <w:rsid w:val="00D1634A"/>
    <w:rPr>
      <w:lang w:eastAsia="en-US"/>
    </w:rPr>
  </w:style>
  <w:style w:type="paragraph" w:styleId="CommentSubject">
    <w:name w:val="annotation subject"/>
    <w:basedOn w:val="CommentText"/>
    <w:next w:val="CommentText"/>
    <w:link w:val="CommentSubjectChar"/>
    <w:rsid w:val="00D1634A"/>
    <w:rPr>
      <w:b/>
      <w:bCs/>
    </w:rPr>
  </w:style>
  <w:style w:type="character" w:customStyle="1" w:styleId="CommentSubjectChar">
    <w:name w:val="Comment Subject Char"/>
    <w:basedOn w:val="CommentTextChar"/>
    <w:link w:val="CommentSubject"/>
    <w:rsid w:val="00D1634A"/>
    <w:rPr>
      <w:b/>
      <w:bCs/>
      <w:lang w:eastAsia="en-US"/>
    </w:rPr>
  </w:style>
  <w:style w:type="character" w:customStyle="1" w:styleId="PLChar">
    <w:name w:val="PL Char"/>
    <w:link w:val="PL"/>
    <w:qFormat/>
    <w:rsid w:val="007474FA"/>
    <w:rPr>
      <w:rFonts w:ascii="Courier New" w:hAnsi="Courier New"/>
      <w:noProof/>
      <w:sz w:val="16"/>
      <w:lang w:eastAsia="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locked/>
    <w:rsid w:val="0020293C"/>
    <w:rPr>
      <w:rFonts w:ascii="Times" w:hAnsi="Times" w:cs="Times"/>
      <w:lang w:eastAsia="x-none"/>
    </w:rPr>
  </w:style>
  <w:style w:type="paragraph" w:styleId="ListParagraph">
    <w:name w:val="List Paragraph"/>
    <w:aliases w:val="- Bullets,목록 단락,リスト段落,列出段落,Lista1,?? ??,?????,????"/>
    <w:basedOn w:val="Normal"/>
    <w:link w:val="ListParagraphChar"/>
    <w:uiPriority w:val="34"/>
    <w:qFormat/>
    <w:rsid w:val="0020293C"/>
    <w:pPr>
      <w:spacing w:after="0"/>
      <w:ind w:leftChars="400" w:left="840" w:hanging="720"/>
    </w:pPr>
    <w:rPr>
      <w:rFonts w:ascii="Times" w:hAnsi="Times" w:cs="Times"/>
      <w:lang w:eastAsia="x-none"/>
    </w:rPr>
  </w:style>
  <w:style w:type="paragraph" w:customStyle="1" w:styleId="Doc-text2">
    <w:name w:val="Doc-text2"/>
    <w:basedOn w:val="Normal"/>
    <w:link w:val="Doc-text2Char"/>
    <w:qFormat/>
    <w:rsid w:val="00194A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4A6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98975">
      <w:bodyDiv w:val="1"/>
      <w:marLeft w:val="0"/>
      <w:marRight w:val="0"/>
      <w:marTop w:val="0"/>
      <w:marBottom w:val="0"/>
      <w:divBdr>
        <w:top w:val="none" w:sz="0" w:space="0" w:color="auto"/>
        <w:left w:val="none" w:sz="0" w:space="0" w:color="auto"/>
        <w:bottom w:val="none" w:sz="0" w:space="0" w:color="auto"/>
        <w:right w:val="none" w:sz="0" w:space="0" w:color="auto"/>
      </w:divBdr>
    </w:div>
    <w:div w:id="55858802">
      <w:bodyDiv w:val="1"/>
      <w:marLeft w:val="0"/>
      <w:marRight w:val="0"/>
      <w:marTop w:val="0"/>
      <w:marBottom w:val="0"/>
      <w:divBdr>
        <w:top w:val="none" w:sz="0" w:space="0" w:color="auto"/>
        <w:left w:val="none" w:sz="0" w:space="0" w:color="auto"/>
        <w:bottom w:val="none" w:sz="0" w:space="0" w:color="auto"/>
        <w:right w:val="none" w:sz="0" w:space="0" w:color="auto"/>
      </w:divBdr>
      <w:divsChild>
        <w:div w:id="1416828179">
          <w:marLeft w:val="547"/>
          <w:marRight w:val="0"/>
          <w:marTop w:val="0"/>
          <w:marBottom w:val="0"/>
          <w:divBdr>
            <w:top w:val="none" w:sz="0" w:space="0" w:color="auto"/>
            <w:left w:val="none" w:sz="0" w:space="0" w:color="auto"/>
            <w:bottom w:val="none" w:sz="0" w:space="0" w:color="auto"/>
            <w:right w:val="none" w:sz="0" w:space="0" w:color="auto"/>
          </w:divBdr>
        </w:div>
        <w:div w:id="475684420">
          <w:marLeft w:val="1166"/>
          <w:marRight w:val="0"/>
          <w:marTop w:val="0"/>
          <w:marBottom w:val="0"/>
          <w:divBdr>
            <w:top w:val="none" w:sz="0" w:space="0" w:color="auto"/>
            <w:left w:val="none" w:sz="0" w:space="0" w:color="auto"/>
            <w:bottom w:val="none" w:sz="0" w:space="0" w:color="auto"/>
            <w:right w:val="none" w:sz="0" w:space="0" w:color="auto"/>
          </w:divBdr>
        </w:div>
        <w:div w:id="127625566">
          <w:marLeft w:val="547"/>
          <w:marRight w:val="0"/>
          <w:marTop w:val="0"/>
          <w:marBottom w:val="0"/>
          <w:divBdr>
            <w:top w:val="none" w:sz="0" w:space="0" w:color="auto"/>
            <w:left w:val="none" w:sz="0" w:space="0" w:color="auto"/>
            <w:bottom w:val="none" w:sz="0" w:space="0" w:color="auto"/>
            <w:right w:val="none" w:sz="0" w:space="0" w:color="auto"/>
          </w:divBdr>
        </w:div>
        <w:div w:id="1552577471">
          <w:marLeft w:val="547"/>
          <w:marRight w:val="0"/>
          <w:marTop w:val="0"/>
          <w:marBottom w:val="0"/>
          <w:divBdr>
            <w:top w:val="none" w:sz="0" w:space="0" w:color="auto"/>
            <w:left w:val="none" w:sz="0" w:space="0" w:color="auto"/>
            <w:bottom w:val="none" w:sz="0" w:space="0" w:color="auto"/>
            <w:right w:val="none" w:sz="0" w:space="0" w:color="auto"/>
          </w:divBdr>
        </w:div>
      </w:divsChild>
    </w:div>
    <w:div w:id="178588885">
      <w:bodyDiv w:val="1"/>
      <w:marLeft w:val="0"/>
      <w:marRight w:val="0"/>
      <w:marTop w:val="0"/>
      <w:marBottom w:val="0"/>
      <w:divBdr>
        <w:top w:val="none" w:sz="0" w:space="0" w:color="auto"/>
        <w:left w:val="none" w:sz="0" w:space="0" w:color="auto"/>
        <w:bottom w:val="none" w:sz="0" w:space="0" w:color="auto"/>
        <w:right w:val="none" w:sz="0" w:space="0" w:color="auto"/>
      </w:divBdr>
      <w:divsChild>
        <w:div w:id="719790607">
          <w:marLeft w:val="547"/>
          <w:marRight w:val="0"/>
          <w:marTop w:val="0"/>
          <w:marBottom w:val="0"/>
          <w:divBdr>
            <w:top w:val="none" w:sz="0" w:space="0" w:color="auto"/>
            <w:left w:val="none" w:sz="0" w:space="0" w:color="auto"/>
            <w:bottom w:val="none" w:sz="0" w:space="0" w:color="auto"/>
            <w:right w:val="none" w:sz="0" w:space="0" w:color="auto"/>
          </w:divBdr>
        </w:div>
        <w:div w:id="323896850">
          <w:marLeft w:val="1166"/>
          <w:marRight w:val="0"/>
          <w:marTop w:val="0"/>
          <w:marBottom w:val="0"/>
          <w:divBdr>
            <w:top w:val="none" w:sz="0" w:space="0" w:color="auto"/>
            <w:left w:val="none" w:sz="0" w:space="0" w:color="auto"/>
            <w:bottom w:val="none" w:sz="0" w:space="0" w:color="auto"/>
            <w:right w:val="none" w:sz="0" w:space="0" w:color="auto"/>
          </w:divBdr>
        </w:div>
        <w:div w:id="949241407">
          <w:marLeft w:val="547"/>
          <w:marRight w:val="0"/>
          <w:marTop w:val="0"/>
          <w:marBottom w:val="0"/>
          <w:divBdr>
            <w:top w:val="none" w:sz="0" w:space="0" w:color="auto"/>
            <w:left w:val="none" w:sz="0" w:space="0" w:color="auto"/>
            <w:bottom w:val="none" w:sz="0" w:space="0" w:color="auto"/>
            <w:right w:val="none" w:sz="0" w:space="0" w:color="auto"/>
          </w:divBdr>
        </w:div>
        <w:div w:id="1417091184">
          <w:marLeft w:val="547"/>
          <w:marRight w:val="0"/>
          <w:marTop w:val="0"/>
          <w:marBottom w:val="0"/>
          <w:divBdr>
            <w:top w:val="none" w:sz="0" w:space="0" w:color="auto"/>
            <w:left w:val="none" w:sz="0" w:space="0" w:color="auto"/>
            <w:bottom w:val="none" w:sz="0" w:space="0" w:color="auto"/>
            <w:right w:val="none" w:sz="0" w:space="0" w:color="auto"/>
          </w:divBdr>
        </w:div>
      </w:divsChild>
    </w:div>
    <w:div w:id="479660298">
      <w:bodyDiv w:val="1"/>
      <w:marLeft w:val="0"/>
      <w:marRight w:val="0"/>
      <w:marTop w:val="0"/>
      <w:marBottom w:val="0"/>
      <w:divBdr>
        <w:top w:val="none" w:sz="0" w:space="0" w:color="auto"/>
        <w:left w:val="none" w:sz="0" w:space="0" w:color="auto"/>
        <w:bottom w:val="none" w:sz="0" w:space="0" w:color="auto"/>
        <w:right w:val="none" w:sz="0" w:space="0" w:color="auto"/>
      </w:divBdr>
    </w:div>
    <w:div w:id="546721840">
      <w:bodyDiv w:val="1"/>
      <w:marLeft w:val="0"/>
      <w:marRight w:val="0"/>
      <w:marTop w:val="0"/>
      <w:marBottom w:val="0"/>
      <w:divBdr>
        <w:top w:val="none" w:sz="0" w:space="0" w:color="auto"/>
        <w:left w:val="none" w:sz="0" w:space="0" w:color="auto"/>
        <w:bottom w:val="none" w:sz="0" w:space="0" w:color="auto"/>
        <w:right w:val="none" w:sz="0" w:space="0" w:color="auto"/>
      </w:divBdr>
    </w:div>
    <w:div w:id="603656982">
      <w:bodyDiv w:val="1"/>
      <w:marLeft w:val="0"/>
      <w:marRight w:val="0"/>
      <w:marTop w:val="0"/>
      <w:marBottom w:val="0"/>
      <w:divBdr>
        <w:top w:val="none" w:sz="0" w:space="0" w:color="auto"/>
        <w:left w:val="none" w:sz="0" w:space="0" w:color="auto"/>
        <w:bottom w:val="none" w:sz="0" w:space="0" w:color="auto"/>
        <w:right w:val="none" w:sz="0" w:space="0" w:color="auto"/>
      </w:divBdr>
    </w:div>
    <w:div w:id="658311431">
      <w:bodyDiv w:val="1"/>
      <w:marLeft w:val="0"/>
      <w:marRight w:val="0"/>
      <w:marTop w:val="0"/>
      <w:marBottom w:val="0"/>
      <w:divBdr>
        <w:top w:val="none" w:sz="0" w:space="0" w:color="auto"/>
        <w:left w:val="none" w:sz="0" w:space="0" w:color="auto"/>
        <w:bottom w:val="none" w:sz="0" w:space="0" w:color="auto"/>
        <w:right w:val="none" w:sz="0" w:space="0" w:color="auto"/>
      </w:divBdr>
      <w:divsChild>
        <w:div w:id="1194921423">
          <w:marLeft w:val="547"/>
          <w:marRight w:val="0"/>
          <w:marTop w:val="0"/>
          <w:marBottom w:val="0"/>
          <w:divBdr>
            <w:top w:val="none" w:sz="0" w:space="0" w:color="auto"/>
            <w:left w:val="none" w:sz="0" w:space="0" w:color="auto"/>
            <w:bottom w:val="none" w:sz="0" w:space="0" w:color="auto"/>
            <w:right w:val="none" w:sz="0" w:space="0" w:color="auto"/>
          </w:divBdr>
        </w:div>
        <w:div w:id="958344347">
          <w:marLeft w:val="1166"/>
          <w:marRight w:val="0"/>
          <w:marTop w:val="0"/>
          <w:marBottom w:val="0"/>
          <w:divBdr>
            <w:top w:val="none" w:sz="0" w:space="0" w:color="auto"/>
            <w:left w:val="none" w:sz="0" w:space="0" w:color="auto"/>
            <w:bottom w:val="none" w:sz="0" w:space="0" w:color="auto"/>
            <w:right w:val="none" w:sz="0" w:space="0" w:color="auto"/>
          </w:divBdr>
        </w:div>
        <w:div w:id="1582594141">
          <w:marLeft w:val="547"/>
          <w:marRight w:val="0"/>
          <w:marTop w:val="0"/>
          <w:marBottom w:val="0"/>
          <w:divBdr>
            <w:top w:val="none" w:sz="0" w:space="0" w:color="auto"/>
            <w:left w:val="none" w:sz="0" w:space="0" w:color="auto"/>
            <w:bottom w:val="none" w:sz="0" w:space="0" w:color="auto"/>
            <w:right w:val="none" w:sz="0" w:space="0" w:color="auto"/>
          </w:divBdr>
        </w:div>
        <w:div w:id="1566795380">
          <w:marLeft w:val="547"/>
          <w:marRight w:val="0"/>
          <w:marTop w:val="0"/>
          <w:marBottom w:val="0"/>
          <w:divBdr>
            <w:top w:val="none" w:sz="0" w:space="0" w:color="auto"/>
            <w:left w:val="none" w:sz="0" w:space="0" w:color="auto"/>
            <w:bottom w:val="none" w:sz="0" w:space="0" w:color="auto"/>
            <w:right w:val="none" w:sz="0" w:space="0" w:color="auto"/>
          </w:divBdr>
        </w:div>
      </w:divsChild>
    </w:div>
    <w:div w:id="66709639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3168940">
      <w:bodyDiv w:val="1"/>
      <w:marLeft w:val="0"/>
      <w:marRight w:val="0"/>
      <w:marTop w:val="0"/>
      <w:marBottom w:val="0"/>
      <w:divBdr>
        <w:top w:val="none" w:sz="0" w:space="0" w:color="auto"/>
        <w:left w:val="none" w:sz="0" w:space="0" w:color="auto"/>
        <w:bottom w:val="none" w:sz="0" w:space="0" w:color="auto"/>
        <w:right w:val="none" w:sz="0" w:space="0" w:color="auto"/>
      </w:divBdr>
    </w:div>
    <w:div w:id="1157260491">
      <w:bodyDiv w:val="1"/>
      <w:marLeft w:val="0"/>
      <w:marRight w:val="0"/>
      <w:marTop w:val="0"/>
      <w:marBottom w:val="0"/>
      <w:divBdr>
        <w:top w:val="none" w:sz="0" w:space="0" w:color="auto"/>
        <w:left w:val="none" w:sz="0" w:space="0" w:color="auto"/>
        <w:bottom w:val="none" w:sz="0" w:space="0" w:color="auto"/>
        <w:right w:val="none" w:sz="0" w:space="0" w:color="auto"/>
      </w:divBdr>
      <w:divsChild>
        <w:div w:id="1864705879">
          <w:marLeft w:val="547"/>
          <w:marRight w:val="0"/>
          <w:marTop w:val="0"/>
          <w:marBottom w:val="0"/>
          <w:divBdr>
            <w:top w:val="none" w:sz="0" w:space="0" w:color="auto"/>
            <w:left w:val="none" w:sz="0" w:space="0" w:color="auto"/>
            <w:bottom w:val="none" w:sz="0" w:space="0" w:color="auto"/>
            <w:right w:val="none" w:sz="0" w:space="0" w:color="auto"/>
          </w:divBdr>
        </w:div>
        <w:div w:id="809786451">
          <w:marLeft w:val="1166"/>
          <w:marRight w:val="0"/>
          <w:marTop w:val="0"/>
          <w:marBottom w:val="0"/>
          <w:divBdr>
            <w:top w:val="none" w:sz="0" w:space="0" w:color="auto"/>
            <w:left w:val="none" w:sz="0" w:space="0" w:color="auto"/>
            <w:bottom w:val="none" w:sz="0" w:space="0" w:color="auto"/>
            <w:right w:val="none" w:sz="0" w:space="0" w:color="auto"/>
          </w:divBdr>
        </w:div>
        <w:div w:id="176844494">
          <w:marLeft w:val="547"/>
          <w:marRight w:val="0"/>
          <w:marTop w:val="0"/>
          <w:marBottom w:val="0"/>
          <w:divBdr>
            <w:top w:val="none" w:sz="0" w:space="0" w:color="auto"/>
            <w:left w:val="none" w:sz="0" w:space="0" w:color="auto"/>
            <w:bottom w:val="none" w:sz="0" w:space="0" w:color="auto"/>
            <w:right w:val="none" w:sz="0" w:space="0" w:color="auto"/>
          </w:divBdr>
        </w:div>
        <w:div w:id="1454128604">
          <w:marLeft w:val="547"/>
          <w:marRight w:val="0"/>
          <w:marTop w:val="0"/>
          <w:marBottom w:val="0"/>
          <w:divBdr>
            <w:top w:val="none" w:sz="0" w:space="0" w:color="auto"/>
            <w:left w:val="none" w:sz="0" w:space="0" w:color="auto"/>
            <w:bottom w:val="none" w:sz="0" w:space="0" w:color="auto"/>
            <w:right w:val="none" w:sz="0" w:space="0" w:color="auto"/>
          </w:divBdr>
        </w:div>
      </w:divsChild>
    </w:div>
    <w:div w:id="120351798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1152092">
      <w:bodyDiv w:val="1"/>
      <w:marLeft w:val="0"/>
      <w:marRight w:val="0"/>
      <w:marTop w:val="0"/>
      <w:marBottom w:val="0"/>
      <w:divBdr>
        <w:top w:val="none" w:sz="0" w:space="0" w:color="auto"/>
        <w:left w:val="none" w:sz="0" w:space="0" w:color="auto"/>
        <w:bottom w:val="none" w:sz="0" w:space="0" w:color="auto"/>
        <w:right w:val="none" w:sz="0" w:space="0" w:color="auto"/>
      </w:divBdr>
    </w:div>
    <w:div w:id="1553418423">
      <w:bodyDiv w:val="1"/>
      <w:marLeft w:val="0"/>
      <w:marRight w:val="0"/>
      <w:marTop w:val="0"/>
      <w:marBottom w:val="0"/>
      <w:divBdr>
        <w:top w:val="none" w:sz="0" w:space="0" w:color="auto"/>
        <w:left w:val="none" w:sz="0" w:space="0" w:color="auto"/>
        <w:bottom w:val="none" w:sz="0" w:space="0" w:color="auto"/>
        <w:right w:val="none" w:sz="0" w:space="0" w:color="auto"/>
      </w:divBdr>
      <w:divsChild>
        <w:div w:id="1915385408">
          <w:marLeft w:val="547"/>
          <w:marRight w:val="0"/>
          <w:marTop w:val="0"/>
          <w:marBottom w:val="0"/>
          <w:divBdr>
            <w:top w:val="none" w:sz="0" w:space="0" w:color="auto"/>
            <w:left w:val="none" w:sz="0" w:space="0" w:color="auto"/>
            <w:bottom w:val="none" w:sz="0" w:space="0" w:color="auto"/>
            <w:right w:val="none" w:sz="0" w:space="0" w:color="auto"/>
          </w:divBdr>
        </w:div>
        <w:div w:id="988363565">
          <w:marLeft w:val="1166"/>
          <w:marRight w:val="0"/>
          <w:marTop w:val="0"/>
          <w:marBottom w:val="0"/>
          <w:divBdr>
            <w:top w:val="none" w:sz="0" w:space="0" w:color="auto"/>
            <w:left w:val="none" w:sz="0" w:space="0" w:color="auto"/>
            <w:bottom w:val="none" w:sz="0" w:space="0" w:color="auto"/>
            <w:right w:val="none" w:sz="0" w:space="0" w:color="auto"/>
          </w:divBdr>
        </w:div>
        <w:div w:id="326062165">
          <w:marLeft w:val="547"/>
          <w:marRight w:val="0"/>
          <w:marTop w:val="0"/>
          <w:marBottom w:val="0"/>
          <w:divBdr>
            <w:top w:val="none" w:sz="0" w:space="0" w:color="auto"/>
            <w:left w:val="none" w:sz="0" w:space="0" w:color="auto"/>
            <w:bottom w:val="none" w:sz="0" w:space="0" w:color="auto"/>
            <w:right w:val="none" w:sz="0" w:space="0" w:color="auto"/>
          </w:divBdr>
        </w:div>
        <w:div w:id="111293396">
          <w:marLeft w:val="547"/>
          <w:marRight w:val="0"/>
          <w:marTop w:val="0"/>
          <w:marBottom w:val="0"/>
          <w:divBdr>
            <w:top w:val="none" w:sz="0" w:space="0" w:color="auto"/>
            <w:left w:val="none" w:sz="0" w:space="0" w:color="auto"/>
            <w:bottom w:val="none" w:sz="0" w:space="0" w:color="auto"/>
            <w:right w:val="none" w:sz="0" w:space="0" w:color="auto"/>
          </w:divBdr>
        </w:div>
      </w:divsChild>
    </w:div>
    <w:div w:id="1821262102">
      <w:bodyDiv w:val="1"/>
      <w:marLeft w:val="0"/>
      <w:marRight w:val="0"/>
      <w:marTop w:val="0"/>
      <w:marBottom w:val="0"/>
      <w:divBdr>
        <w:top w:val="none" w:sz="0" w:space="0" w:color="auto"/>
        <w:left w:val="none" w:sz="0" w:space="0" w:color="auto"/>
        <w:bottom w:val="none" w:sz="0" w:space="0" w:color="auto"/>
        <w:right w:val="none" w:sz="0" w:space="0" w:color="auto"/>
      </w:divBdr>
      <w:divsChild>
        <w:div w:id="1960719599">
          <w:marLeft w:val="1800"/>
          <w:marRight w:val="0"/>
          <w:marTop w:val="100"/>
          <w:marBottom w:val="0"/>
          <w:divBdr>
            <w:top w:val="none" w:sz="0" w:space="0" w:color="auto"/>
            <w:left w:val="none" w:sz="0" w:space="0" w:color="auto"/>
            <w:bottom w:val="none" w:sz="0" w:space="0" w:color="auto"/>
            <w:right w:val="none" w:sz="0" w:space="0" w:color="auto"/>
          </w:divBdr>
        </w:div>
        <w:div w:id="1033657663">
          <w:marLeft w:val="1800"/>
          <w:marRight w:val="0"/>
          <w:marTop w:val="100"/>
          <w:marBottom w:val="0"/>
          <w:divBdr>
            <w:top w:val="none" w:sz="0" w:space="0" w:color="auto"/>
            <w:left w:val="none" w:sz="0" w:space="0" w:color="auto"/>
            <w:bottom w:val="none" w:sz="0" w:space="0" w:color="auto"/>
            <w:right w:val="none" w:sz="0" w:space="0" w:color="auto"/>
          </w:divBdr>
        </w:div>
      </w:divsChild>
    </w:div>
    <w:div w:id="201438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8</cp:revision>
  <dcterms:created xsi:type="dcterms:W3CDTF">2018-06-20T13:18:00Z</dcterms:created>
  <dcterms:modified xsi:type="dcterms:W3CDTF">2018-06-21T21:33:00Z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